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Latency (Delay)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 latency or delay defines how long it takes for an entire message to completely arrive at the destination from the time the first bit is sent out from the source.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Components of Latency:</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Transmission delay:</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Time it takes to place the complete data packet on the transmission medium.</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Transmission time = Message size / Bandwidth</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Propagation delay:</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Time it takes for a bit to go from device A to device B.</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Propagation Time = Distance / Propagation speed</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Queuing delay:</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The time needed for each intermediate or end device to hold the message before it can be processed.</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The queuing time is not a fixed factor, it changes with the load imposed on the network.</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When there is heavy traffic on the network, the queuing time increases.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Processing delay:</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How much time does the node take to process the message?</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Latency = Transmission + Propagation + Queuing + Processing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