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30163" w14:textId="53624666" w:rsidR="00F04D66" w:rsidRDefault="00F04D66" w:rsidP="0076666D">
      <w:pPr>
        <w:pStyle w:val="NormalWeb"/>
        <w:shd w:val="clear" w:color="auto" w:fill="FFFFFF"/>
        <w:jc w:val="center"/>
      </w:pPr>
      <w:r>
        <w:rPr>
          <w:rFonts w:ascii="TimesNewRomanPS" w:hAnsi="TimesNewRomanPS"/>
          <w:b/>
          <w:bCs/>
        </w:rPr>
        <w:br/>
      </w:r>
      <w:r>
        <w:rPr>
          <w:rFonts w:ascii="TimesNewRomanPS" w:hAnsi="TimesNewRomanPS"/>
          <w:b/>
          <w:bCs/>
        </w:rPr>
        <w:br/>
      </w:r>
      <w:r w:rsidR="0076666D" w:rsidRPr="00385A14">
        <w:rPr>
          <w:rFonts w:ascii="TimesNewRomanPS" w:hAnsi="TimesNewRomanPS"/>
          <w:b/>
          <w:bCs/>
          <w:sz w:val="32"/>
          <w:szCs w:val="32"/>
        </w:rPr>
        <w:t>Marka İmajı Oluşturma Stratejisi Seçilen Marka: IKEA</w:t>
      </w:r>
      <w:r>
        <w:rPr>
          <w:rFonts w:ascii="TimesNewRomanPS" w:hAnsi="TimesNewRomanPS"/>
          <w:b/>
          <w:bCs/>
        </w:rPr>
        <w:br/>
      </w:r>
    </w:p>
    <w:p w14:paraId="3A0A0633" w14:textId="77777777" w:rsidR="00385A14" w:rsidRDefault="00F04D66" w:rsidP="0076666D">
      <w:pPr>
        <w:pStyle w:val="NormalWeb"/>
        <w:rPr>
          <w:rFonts w:ascii="TimesNewRomanPS" w:hAnsi="TimesNewRomanPS"/>
          <w:b/>
          <w:bCs/>
        </w:rPr>
      </w:pPr>
      <w:r>
        <w:rPr>
          <w:rFonts w:ascii="SymbolMT" w:hAnsi="SymbolMT"/>
        </w:rPr>
        <w:t xml:space="preserve">• </w:t>
      </w:r>
      <w:r w:rsidRPr="00385A14">
        <w:rPr>
          <w:rFonts w:ascii="TimesNewRomanPS" w:hAnsi="TimesNewRomanPS"/>
          <w:b/>
          <w:bCs/>
          <w:sz w:val="28"/>
          <w:szCs w:val="28"/>
        </w:rPr>
        <w:t xml:space="preserve">Marka Analizi: </w:t>
      </w:r>
    </w:p>
    <w:p w14:paraId="396382E0" w14:textId="1A9DFD45" w:rsidR="0076666D" w:rsidRPr="00385A14" w:rsidRDefault="00F04D66" w:rsidP="0076666D">
      <w:pPr>
        <w:pStyle w:val="NormalWeb"/>
        <w:rPr>
          <w:rFonts w:ascii="TimesNewRomanPSMT" w:hAnsi="TimesNewRomanPSMT"/>
        </w:rPr>
      </w:pPr>
      <w:proofErr w:type="gramStart"/>
      <w:r>
        <w:rPr>
          <w:rFonts w:ascii="CourierNewPSMT" w:hAnsi="CourierNewPSMT"/>
        </w:rPr>
        <w:t>o</w:t>
      </w:r>
      <w:proofErr w:type="gramEnd"/>
      <w:r>
        <w:rPr>
          <w:rFonts w:ascii="CourierNewPSMT" w:hAnsi="CourierNewPSMT"/>
        </w:rPr>
        <w:t xml:space="preserve"> </w:t>
      </w:r>
      <w:r w:rsidR="0076666D" w:rsidRPr="00385A14">
        <w:rPr>
          <w:rFonts w:ascii="TimesNewRomanPSMT" w:hAnsi="TimesNewRomanPSMT"/>
        </w:rPr>
        <w:t>IKEA'nın güçlü yönleri arasında marka bilinirliği ön plana çıkmaktadır. Dünya çapında tanınan bir marka olan IKEA, mobilya sektöründe lider bir konuma sahiptir. Yenilikçi tasarımları ile modern, minimalist ve işlevsel ürünler sunarak rakiplerinden ayrılmaktadır. Uygun fiyat politikası sayesinde geniş bir müşteri kitlesine hitap eden marka, aynı zamanda sürdürülebilirlik odaklı politikaları ve çevre dostu ürünleriyle çevresel sorumluluğa verdiği önemi göstermektedir. Geniş ürün yelpazesi ile ev mobilyalarından mutfak araçlarına kadar çok çeşitli seçenekler sunan IKEA, mağazalarında yenilikçi alışveriş deneyimleri, restoranlar ve çocuk oyun alanları gibi ek hizmetlerle müşteri memnuniyetini artırmaktadır.</w:t>
      </w:r>
    </w:p>
    <w:p w14:paraId="592D021B" w14:textId="39A0B001" w:rsidR="00F04D66" w:rsidRPr="00385A14" w:rsidRDefault="0076666D" w:rsidP="00385A14">
      <w:pPr>
        <w:pStyle w:val="NormalWeb"/>
        <w:ind w:firstLine="284"/>
        <w:rPr>
          <w:rFonts w:ascii="TimesNewRomanPSMT" w:hAnsi="TimesNewRomanPSMT"/>
        </w:rPr>
      </w:pPr>
      <w:r w:rsidRPr="00385A14">
        <w:rPr>
          <w:rFonts w:ascii="TimesNewRomanPSMT" w:hAnsi="TimesNewRomanPSMT"/>
        </w:rPr>
        <w:t>Bununla birlikte, bazı zayıf yönler de bulunmaktadır. Kendin yap montaj sistemi, bazı müşteriler için karmaşık ve zaman alıcı bir süreç olabilmektedir. Ürünlerin kişiselleştirilebilirlik konusunda sınırlı olması, belirli tüketicilerin beklentilerini karşılamada yetersiz kalabilir. Yerel mobilya mağazaları, IKEA’ya karşı fiyat ve teslimat süresi avantajı sağlayarak yerel pazarlarda rekabeti artırmaktadır. Ayrıca, bazı pazarlarda çevrimiçi alışveriş deneyiminin yeterince güçlü olmaması, dijital hizmetlerde iyileştirme gerekliliğini ortaya koymaktadır.</w:t>
      </w:r>
    </w:p>
    <w:p w14:paraId="2EB69CE0" w14:textId="77777777" w:rsidR="00F04D66" w:rsidRDefault="00F04D66" w:rsidP="00F04D66">
      <w:pPr>
        <w:pStyle w:val="NormalWeb"/>
      </w:pPr>
      <w:r>
        <w:rPr>
          <w:rFonts w:ascii="SymbolMT" w:hAnsi="SymbolMT"/>
        </w:rPr>
        <w:t xml:space="preserve">• </w:t>
      </w:r>
      <w:r w:rsidRPr="00385A14">
        <w:rPr>
          <w:rFonts w:ascii="TimesNewRomanPS" w:hAnsi="TimesNewRomanPS"/>
          <w:b/>
          <w:bCs/>
          <w:sz w:val="28"/>
          <w:szCs w:val="28"/>
        </w:rPr>
        <w:t xml:space="preserve">Hedef Kitlenin Tanımlanması: </w:t>
      </w:r>
    </w:p>
    <w:p w14:paraId="2EAD19C3" w14:textId="5BE230F9" w:rsidR="00F04D66" w:rsidRDefault="00F04D66" w:rsidP="00F04D66">
      <w:pPr>
        <w:pStyle w:val="NormalWeb"/>
      </w:pPr>
      <w:proofErr w:type="gramStart"/>
      <w:r>
        <w:rPr>
          <w:rFonts w:ascii="CourierNewPSMT" w:hAnsi="CourierNewPSMT"/>
        </w:rPr>
        <w:t>o</w:t>
      </w:r>
      <w:proofErr w:type="gramEnd"/>
      <w:r>
        <w:rPr>
          <w:rFonts w:ascii="CourierNewPSMT" w:hAnsi="CourierNewPSMT"/>
        </w:rPr>
        <w:t xml:space="preserve"> </w:t>
      </w:r>
      <w:r w:rsidR="0076666D" w:rsidRPr="00385A14">
        <w:rPr>
          <w:rFonts w:ascii="TimesNewRomanPSMT" w:hAnsi="TimesNewRomanPSMT"/>
        </w:rPr>
        <w:t>IKEA'nın hedef kitlesi demografik olarak genç profesyoneller, yeni evli çiftler, öğrenciler ve geniş ailelerden oluşmaktadır. Coğrafi açıdan büyük şehirlerde yaşayan ve alan verimliliğine önem veren bireyleri hedeflemektedir. Psikografik olarak fonksiyonel, estetik ve uygun fiyatlı çözümler arayan tüketicilere hitap eden IKEA, davranışsal açıdan ise mobilyalarını kendileri monte edebilecek beceriye ve motivasyona sahip olan kişilere odaklanmaktadır. Bu hedef kitle, hem ürünlerin hem de alışveriş deneyiminin temelini oluşturur.</w:t>
      </w:r>
    </w:p>
    <w:p w14:paraId="41C22641" w14:textId="77777777" w:rsidR="00F04D66" w:rsidRDefault="00F04D66" w:rsidP="00F04D66">
      <w:pPr>
        <w:pStyle w:val="NormalWeb"/>
      </w:pPr>
      <w:r>
        <w:rPr>
          <w:rFonts w:ascii="SymbolMT" w:hAnsi="SymbolMT"/>
        </w:rPr>
        <w:t xml:space="preserve">• </w:t>
      </w:r>
      <w:r w:rsidRPr="00385A14">
        <w:rPr>
          <w:rFonts w:ascii="TimesNewRomanPS" w:hAnsi="TimesNewRomanPS"/>
          <w:b/>
          <w:bCs/>
          <w:sz w:val="28"/>
          <w:szCs w:val="28"/>
        </w:rPr>
        <w:t xml:space="preserve">Marka İmajının Belirlenmesi: </w:t>
      </w:r>
    </w:p>
    <w:p w14:paraId="4B63DB50" w14:textId="77777777" w:rsidR="0076666D" w:rsidRPr="00385A14" w:rsidRDefault="00F04D66" w:rsidP="0076666D">
      <w:pPr>
        <w:pStyle w:val="NormalWeb"/>
        <w:rPr>
          <w:rFonts w:ascii="TimesNewRomanPSMT" w:hAnsi="TimesNewRomanPSMT"/>
        </w:rPr>
      </w:pPr>
      <w:proofErr w:type="gramStart"/>
      <w:r>
        <w:rPr>
          <w:rFonts w:ascii="CourierNewPSMT" w:hAnsi="CourierNewPSMT"/>
        </w:rPr>
        <w:t>o</w:t>
      </w:r>
      <w:proofErr w:type="gramEnd"/>
      <w:r>
        <w:rPr>
          <w:rFonts w:ascii="CourierNewPSMT" w:hAnsi="CourierNewPSMT"/>
        </w:rPr>
        <w:t xml:space="preserve"> </w:t>
      </w:r>
      <w:r w:rsidR="0076666D" w:rsidRPr="00385A14">
        <w:rPr>
          <w:rFonts w:ascii="TimesNewRomanPSMT" w:hAnsi="TimesNewRomanPSMT"/>
        </w:rPr>
        <w:t>IKEA'nın marka imajı, fonksiyonel, estetik ve uygun fiyatlı ürünler sunma misyonuna dayanır. Marka, modern tasarımları ve yenilikçi çözümleriyle ev yaşamını kolaylaştırmayı hedefler. IKEA, kalite, erişilebilirlik ve çevre dostu yaklaşımıyla geniş bir müşteri kitlesine hitap etmeyi amaçlar. Tüketiciler tarafından işlevsellik ve estetik dengesini sağlayan bir marka olarak algılanmak isteyen IKEA, aynı zamanda sürdürülebilirlik odaklı politikalarıyla çevresel sorumluluğu ön planda tutar.</w:t>
      </w:r>
    </w:p>
    <w:p w14:paraId="50427257" w14:textId="50E15DF5" w:rsidR="00F04D66" w:rsidRPr="00385A14" w:rsidRDefault="0076666D" w:rsidP="0076666D">
      <w:pPr>
        <w:pStyle w:val="NormalWeb"/>
        <w:rPr>
          <w:rFonts w:ascii="TimesNewRomanPSMT" w:hAnsi="TimesNewRomanPSMT"/>
        </w:rPr>
      </w:pPr>
      <w:r w:rsidRPr="00385A14">
        <w:rPr>
          <w:rFonts w:ascii="TimesNewRomanPSMT" w:hAnsi="TimesNewRomanPSMT"/>
        </w:rPr>
        <w:t>IKEA’nın istenen imajı, müşteri odaklılık, tasarımda yenilikçilik ve yaşam alanlarını optimize eden çözümlerle şekillenir. Ayrıca, herkes için erişilebilir fiyatlarla kaliteli ürünler sunma anlayışı, markanın temel değerlerinden biri olarak öne çıkar. IKEA, müşterilerinin sadece bir alışveriş deneyimi değil, aynı zamanda yaşam tarzlarını zenginleştiren bir çözüm ortağı olarak görülmesini sağlamayı hedefler.</w:t>
      </w:r>
    </w:p>
    <w:p w14:paraId="20294E92" w14:textId="77777777" w:rsidR="00F04D66" w:rsidRDefault="00F04D66" w:rsidP="00F04D66">
      <w:pPr>
        <w:pStyle w:val="NormalWeb"/>
      </w:pPr>
      <w:r>
        <w:rPr>
          <w:rFonts w:ascii="SymbolMT" w:hAnsi="SymbolMT"/>
        </w:rPr>
        <w:t xml:space="preserve">• </w:t>
      </w:r>
      <w:r w:rsidRPr="00385A14">
        <w:rPr>
          <w:rFonts w:ascii="TimesNewRomanPS" w:hAnsi="TimesNewRomanPS"/>
          <w:b/>
          <w:bCs/>
          <w:sz w:val="28"/>
          <w:szCs w:val="28"/>
        </w:rPr>
        <w:t xml:space="preserve">Strateji Geliştirme: </w:t>
      </w:r>
    </w:p>
    <w:p w14:paraId="0F9951DD" w14:textId="77777777" w:rsidR="0076666D" w:rsidRPr="00385A14" w:rsidRDefault="00F04D66" w:rsidP="0076666D">
      <w:pPr>
        <w:pStyle w:val="NormalWeb"/>
        <w:rPr>
          <w:rFonts w:ascii="TimesNewRomanPSMT" w:hAnsi="TimesNewRomanPSMT"/>
        </w:rPr>
      </w:pPr>
      <w:proofErr w:type="gramStart"/>
      <w:r>
        <w:rPr>
          <w:rFonts w:ascii="CourierNewPSMT" w:hAnsi="CourierNewPSMT"/>
        </w:rPr>
        <w:lastRenderedPageBreak/>
        <w:t>o</w:t>
      </w:r>
      <w:proofErr w:type="gramEnd"/>
      <w:r>
        <w:rPr>
          <w:rFonts w:ascii="CourierNewPSMT" w:hAnsi="CourierNewPSMT"/>
        </w:rPr>
        <w:t xml:space="preserve"> </w:t>
      </w:r>
      <w:r w:rsidR="0076666D" w:rsidRPr="00385A14">
        <w:rPr>
          <w:rFonts w:ascii="TimesNewRomanPSMT" w:hAnsi="TimesNewRomanPSMT"/>
        </w:rPr>
        <w:t>IKEA’nın belirlenen marka imajına ulaşabilmesi için stratejiler, farklı alanlarda etkili ve bütüncül yaklaşımlarla geliştirilmelidir. Öncelikle reklam ve pazarlama faaliyetleri, modern ve işlevsel tasarımları vurgulayan yaratıcı içeriklerle desteklenmelidir. Sosyal medya platformlarında düzenli ve ilgi çekici içerikler paylaşarak hedef kitlenin dikkatini çekmek, marka bağlılığını artırmak için etkili bir yöntem olacaktır. Ayrıca, dijital pazarlama kampanyaları ve influencer iş birlikleri ile marka görünürlüğü artırılabilir.</w:t>
      </w:r>
    </w:p>
    <w:p w14:paraId="07E63CBE" w14:textId="77777777" w:rsidR="0076666D" w:rsidRPr="0076666D" w:rsidRDefault="0076666D" w:rsidP="0076666D">
      <w:pPr>
        <w:pStyle w:val="NormalWeb"/>
        <w:rPr>
          <w:rFonts w:ascii="TimesNewRomanPSMT" w:hAnsi="TimesNewRomanPSMT"/>
        </w:rPr>
      </w:pPr>
      <w:r w:rsidRPr="0076666D">
        <w:rPr>
          <w:rFonts w:ascii="TimesNewRomanPSMT" w:hAnsi="TimesNewRomanPSMT"/>
        </w:rPr>
        <w:t>Halkla ilişkiler stratejileri, IKEA’nın çevre dostu ve sürdürülebilirlik odaklı değerlerini öne çıkarmayı hedeflemelidir. Bu bağlamda, geri dönüşüm projeleri, çevresel farkındalık etkinlikleri ve toplumsal katkı sağlayan kampanyalar, markanın sorumlu bir dünya vatandaşı olarak algılanmasını pekiştirecektir.</w:t>
      </w:r>
    </w:p>
    <w:p w14:paraId="26B4F401" w14:textId="77777777" w:rsidR="0076666D" w:rsidRPr="0076666D" w:rsidRDefault="0076666D" w:rsidP="0076666D">
      <w:pPr>
        <w:pStyle w:val="NormalWeb"/>
        <w:rPr>
          <w:rFonts w:ascii="TimesNewRomanPSMT" w:hAnsi="TimesNewRomanPSMT"/>
        </w:rPr>
      </w:pPr>
      <w:r w:rsidRPr="0076666D">
        <w:rPr>
          <w:rFonts w:ascii="TimesNewRomanPSMT" w:hAnsi="TimesNewRomanPSMT"/>
        </w:rPr>
        <w:t>Ürün geliştirme stratejileri ise müşteri ihtiyaçlarına daha iyi cevap verebilmek için kişiselleştirilebilir seçenekler sunmaya odaklanmalıdır. Modüler mobilyalar, farklı yaşam alanlarına uyum sağlayabilecek esnek tasarımlar ve kullanıcı dostu montaj sistemleri, IKEA’nın yenilikçi ve müşteri odaklı imajını güçlendirecektir.</w:t>
      </w:r>
    </w:p>
    <w:p w14:paraId="07019FEF" w14:textId="77777777" w:rsidR="0076666D" w:rsidRPr="0076666D" w:rsidRDefault="0076666D" w:rsidP="0076666D">
      <w:pPr>
        <w:pStyle w:val="NormalWeb"/>
        <w:rPr>
          <w:rFonts w:ascii="TimesNewRomanPSMT" w:hAnsi="TimesNewRomanPSMT"/>
        </w:rPr>
      </w:pPr>
      <w:r w:rsidRPr="0076666D">
        <w:rPr>
          <w:rFonts w:ascii="TimesNewRomanPSMT" w:hAnsi="TimesNewRomanPSMT"/>
        </w:rPr>
        <w:t>Tüm bu stratejiler, markanın istenen imajını desteklemek ve tüketiciyle daha derin bir bağ kurmak için koordineli bir şekilde uygulanmalıdır.</w:t>
      </w:r>
    </w:p>
    <w:p w14:paraId="6BB7FE25" w14:textId="646157EF" w:rsidR="00F04D66" w:rsidRDefault="00F04D66" w:rsidP="00F04D66">
      <w:pPr>
        <w:pStyle w:val="NormalWeb"/>
      </w:pPr>
    </w:p>
    <w:p w14:paraId="0C9DB9BF" w14:textId="77777777" w:rsidR="00F04D66" w:rsidRDefault="00F04D66" w:rsidP="00F04D66">
      <w:pPr>
        <w:pStyle w:val="NormalWeb"/>
      </w:pPr>
      <w:r>
        <w:rPr>
          <w:rFonts w:ascii="SymbolMT" w:hAnsi="SymbolMT"/>
        </w:rPr>
        <w:t xml:space="preserve">• </w:t>
      </w:r>
      <w:r w:rsidRPr="00385A14">
        <w:rPr>
          <w:rFonts w:ascii="TimesNewRomanPS" w:hAnsi="TimesNewRomanPS"/>
          <w:b/>
          <w:bCs/>
          <w:sz w:val="28"/>
          <w:szCs w:val="28"/>
        </w:rPr>
        <w:t xml:space="preserve">Uygulama Planı: </w:t>
      </w:r>
    </w:p>
    <w:p w14:paraId="687E9B47" w14:textId="77777777" w:rsidR="00385A14" w:rsidRPr="00385A14" w:rsidRDefault="00F04D66" w:rsidP="00385A14">
      <w:pPr>
        <w:pStyle w:val="GvdeMetni"/>
        <w:rPr>
          <w:rStyle w:val="Gl"/>
        </w:rPr>
      </w:pPr>
      <w:proofErr w:type="gramStart"/>
      <w:r>
        <w:rPr>
          <w:rFonts w:ascii="CourierNewPSMT" w:hAnsi="CourierNewPSMT"/>
        </w:rPr>
        <w:t>o</w:t>
      </w:r>
      <w:proofErr w:type="gramEnd"/>
      <w:r>
        <w:rPr>
          <w:rFonts w:ascii="CourierNewPSMT" w:hAnsi="CourierNewPSMT"/>
        </w:rPr>
        <w:t xml:space="preserve"> </w:t>
      </w:r>
      <w:r w:rsidR="0076666D" w:rsidRPr="00385A14">
        <w:rPr>
          <w:rStyle w:val="Gl"/>
        </w:rPr>
        <w:t>1. Planlama ve Hedef Belirleme</w:t>
      </w:r>
    </w:p>
    <w:p w14:paraId="072AFE3E" w14:textId="1702FBB2" w:rsidR="0076666D" w:rsidRPr="00385A14" w:rsidRDefault="0076666D" w:rsidP="00385A14">
      <w:pPr>
        <w:pStyle w:val="GvdeMetni"/>
      </w:pPr>
      <w:r w:rsidRPr="00385A14">
        <w:t>Amaç: Marka imajını güçlendirmek ve geniş bir kitleye ulaşmak.</w:t>
      </w:r>
    </w:p>
    <w:p w14:paraId="1768486C" w14:textId="77777777" w:rsidR="0076666D" w:rsidRPr="00385A14" w:rsidRDefault="0076666D" w:rsidP="00385A14">
      <w:pPr>
        <w:pStyle w:val="GvdeMetni"/>
      </w:pPr>
      <w:r w:rsidRPr="00385A14">
        <w:t>Zaman Çizelgesi: İlk ay.</w:t>
      </w:r>
    </w:p>
    <w:p w14:paraId="16AF1E0B" w14:textId="77777777" w:rsidR="0076666D" w:rsidRPr="00385A14" w:rsidRDefault="0076666D" w:rsidP="00385A14">
      <w:pPr>
        <w:pStyle w:val="GvdeMetni"/>
      </w:pPr>
      <w:r w:rsidRPr="00385A14">
        <w:t>Sorumlular: Pazarlama ve halkla ilişkiler ekipleri.</w:t>
      </w:r>
    </w:p>
    <w:p w14:paraId="5720586C" w14:textId="77777777" w:rsidR="0076666D" w:rsidRPr="00385A14" w:rsidRDefault="0076666D" w:rsidP="00385A14">
      <w:pPr>
        <w:pStyle w:val="GvdeMetni"/>
        <w:rPr>
          <w:rStyle w:val="Gl"/>
        </w:rPr>
      </w:pPr>
      <w:r w:rsidRPr="00385A14">
        <w:rPr>
          <w:rStyle w:val="Gl"/>
        </w:rPr>
        <w:t>2. Dijital Pazarlama Kampanyaları</w:t>
      </w:r>
    </w:p>
    <w:p w14:paraId="0EED0B91" w14:textId="77777777" w:rsidR="0076666D" w:rsidRPr="00385A14" w:rsidRDefault="0076666D" w:rsidP="00385A14">
      <w:pPr>
        <w:pStyle w:val="GvdeMetni"/>
      </w:pPr>
      <w:r w:rsidRPr="00385A14">
        <w:t>Adımlar: Sosyal medya platformlarında yeni kampanyalar başlatmak.</w:t>
      </w:r>
    </w:p>
    <w:p w14:paraId="36E17578" w14:textId="77777777" w:rsidR="0076666D" w:rsidRPr="00385A14" w:rsidRDefault="0076666D" w:rsidP="00385A14">
      <w:pPr>
        <w:pStyle w:val="GvdeMetni"/>
      </w:pPr>
      <w:r w:rsidRPr="00385A14">
        <w:t>Ürünlerin yenilikçi ve çevre dostu özelliklerini vurgulayan içerikler hazırlamak.</w:t>
      </w:r>
    </w:p>
    <w:p w14:paraId="0264547D" w14:textId="77777777" w:rsidR="0076666D" w:rsidRPr="00385A14" w:rsidRDefault="0076666D" w:rsidP="00385A14">
      <w:pPr>
        <w:pStyle w:val="GvdeMetni"/>
      </w:pPr>
      <w:r w:rsidRPr="00385A14">
        <w:t>Influencer iş birlikleri düzenlemek ve markanın görünürlüğünü artırmak.</w:t>
      </w:r>
    </w:p>
    <w:p w14:paraId="5E09F55B" w14:textId="77777777" w:rsidR="0076666D" w:rsidRPr="00385A14" w:rsidRDefault="0076666D" w:rsidP="00385A14">
      <w:pPr>
        <w:pStyle w:val="GvdeMetni"/>
      </w:pPr>
      <w:r w:rsidRPr="00385A14">
        <w:t>Zaman Çizelgesi: İlk 3 ay.</w:t>
      </w:r>
    </w:p>
    <w:p w14:paraId="3F169BDF" w14:textId="77777777" w:rsidR="0076666D" w:rsidRPr="00385A14" w:rsidRDefault="0076666D" w:rsidP="00385A14">
      <w:pPr>
        <w:pStyle w:val="GvdeMetni"/>
      </w:pPr>
      <w:r w:rsidRPr="00385A14">
        <w:t>Sorumlular: Dijital pazarlama ekibi ve sosyal medya uzmanları.</w:t>
      </w:r>
    </w:p>
    <w:p w14:paraId="6166957F" w14:textId="77777777" w:rsidR="0076666D" w:rsidRPr="00385A14" w:rsidRDefault="0076666D" w:rsidP="00385A14">
      <w:pPr>
        <w:pStyle w:val="GvdeMetni"/>
        <w:rPr>
          <w:rStyle w:val="Gl"/>
        </w:rPr>
      </w:pPr>
      <w:r w:rsidRPr="00385A14">
        <w:rPr>
          <w:rStyle w:val="Gl"/>
        </w:rPr>
        <w:t>3. Ürün Geliştirme ve Çeşitlendirme</w:t>
      </w:r>
    </w:p>
    <w:p w14:paraId="37822106" w14:textId="77777777" w:rsidR="0076666D" w:rsidRPr="00385A14" w:rsidRDefault="0076666D" w:rsidP="00385A14">
      <w:pPr>
        <w:pStyle w:val="GvdeMetni"/>
      </w:pPr>
      <w:r w:rsidRPr="00385A14">
        <w:t>Adımlar: Müşteri geri bildirimlerine dayalı yeni tasarımlar geliştirmek.</w:t>
      </w:r>
    </w:p>
    <w:p w14:paraId="1639AEA3" w14:textId="77777777" w:rsidR="0076666D" w:rsidRPr="00385A14" w:rsidRDefault="0076666D" w:rsidP="00385A14">
      <w:pPr>
        <w:pStyle w:val="GvdeMetni"/>
      </w:pPr>
      <w:r w:rsidRPr="00385A14">
        <w:t>Daha kolay monte edilebilir ürünler sunmak için montaj sistemlerini optimize etmek.</w:t>
      </w:r>
    </w:p>
    <w:p w14:paraId="3DED5352" w14:textId="77777777" w:rsidR="0076666D" w:rsidRPr="00385A14" w:rsidRDefault="0076666D" w:rsidP="00385A14">
      <w:pPr>
        <w:pStyle w:val="GvdeMetni"/>
      </w:pPr>
      <w:r w:rsidRPr="00385A14">
        <w:t>Çevre dostu malzemelerle üretilen ürün çeşitliliğini artırmak.</w:t>
      </w:r>
    </w:p>
    <w:p w14:paraId="54A23BCB" w14:textId="77777777" w:rsidR="0076666D" w:rsidRPr="00385A14" w:rsidRDefault="0076666D" w:rsidP="00385A14">
      <w:pPr>
        <w:pStyle w:val="GvdeMetni"/>
      </w:pPr>
      <w:r w:rsidRPr="00385A14">
        <w:t>Zaman Çizelgesi: İlk 6 ay.</w:t>
      </w:r>
    </w:p>
    <w:p w14:paraId="6EDCADC4" w14:textId="77777777" w:rsidR="0076666D" w:rsidRPr="00385A14" w:rsidRDefault="0076666D" w:rsidP="00385A14">
      <w:pPr>
        <w:pStyle w:val="GvdeMetni"/>
      </w:pPr>
      <w:r w:rsidRPr="00385A14">
        <w:t>Sorumlular: Ürün geliştirme ve Ar-Ge departmanları.</w:t>
      </w:r>
    </w:p>
    <w:p w14:paraId="23031BEF" w14:textId="77777777" w:rsidR="0076666D" w:rsidRPr="00385A14" w:rsidRDefault="0076666D" w:rsidP="00385A14">
      <w:pPr>
        <w:pStyle w:val="GvdeMetni"/>
        <w:rPr>
          <w:rStyle w:val="Gl"/>
        </w:rPr>
      </w:pPr>
      <w:r w:rsidRPr="00385A14">
        <w:rPr>
          <w:rStyle w:val="Gl"/>
        </w:rPr>
        <w:t>4. Mağaza Deneyimi ve Hizmet Kalitesi İyileştirme</w:t>
      </w:r>
    </w:p>
    <w:p w14:paraId="495370AC" w14:textId="77777777" w:rsidR="0076666D" w:rsidRPr="00385A14" w:rsidRDefault="0076666D" w:rsidP="00385A14">
      <w:pPr>
        <w:pStyle w:val="GvdeMetni"/>
      </w:pPr>
      <w:r w:rsidRPr="00385A14">
        <w:t>Adımlar: Mağazalarda müşteri deneyimini artırmak için yenilikçi çözümler sunmak (örneğin, artırılmış gerçeklik uygulamaları).</w:t>
      </w:r>
    </w:p>
    <w:p w14:paraId="21164FF3" w14:textId="77777777" w:rsidR="0076666D" w:rsidRPr="00385A14" w:rsidRDefault="0076666D" w:rsidP="00385A14">
      <w:pPr>
        <w:pStyle w:val="GvdeMetni"/>
      </w:pPr>
      <w:r w:rsidRPr="00385A14">
        <w:t>Çalışan eğitimi programları ile hizmet kalitesini yükseltmek.</w:t>
      </w:r>
    </w:p>
    <w:p w14:paraId="7005F278" w14:textId="77777777" w:rsidR="0076666D" w:rsidRPr="00385A14" w:rsidRDefault="0076666D" w:rsidP="00385A14">
      <w:pPr>
        <w:pStyle w:val="GvdeMetni"/>
      </w:pPr>
      <w:r w:rsidRPr="00385A14">
        <w:t>Mağaza içi restoranlarda sürdürülebilir menü seçenekleri sunmak.</w:t>
      </w:r>
    </w:p>
    <w:p w14:paraId="2F33D397" w14:textId="77777777" w:rsidR="0076666D" w:rsidRPr="00385A14" w:rsidRDefault="0076666D" w:rsidP="00385A14">
      <w:pPr>
        <w:pStyle w:val="GvdeMetni"/>
      </w:pPr>
      <w:r w:rsidRPr="00385A14">
        <w:t>Zaman Çizelgesi: İlk 6-12 ay.</w:t>
      </w:r>
    </w:p>
    <w:p w14:paraId="72491434" w14:textId="77777777" w:rsidR="0076666D" w:rsidRPr="00385A14" w:rsidRDefault="0076666D" w:rsidP="00385A14">
      <w:pPr>
        <w:pStyle w:val="GvdeMetni"/>
      </w:pPr>
      <w:r w:rsidRPr="00385A14">
        <w:t>Sorumlular: Mağaza operasyon ekipleri ve müşteri hizmetleri.</w:t>
      </w:r>
    </w:p>
    <w:p w14:paraId="7899129D" w14:textId="77777777" w:rsidR="0076666D" w:rsidRPr="00385A14" w:rsidRDefault="0076666D" w:rsidP="00385A14">
      <w:pPr>
        <w:pStyle w:val="GvdeMetni"/>
        <w:rPr>
          <w:rStyle w:val="Gl"/>
        </w:rPr>
      </w:pPr>
      <w:r w:rsidRPr="00385A14">
        <w:rPr>
          <w:rStyle w:val="Gl"/>
        </w:rPr>
        <w:t>5. Halkla İlişkiler ve Toplumsal Katkı Projeleri</w:t>
      </w:r>
    </w:p>
    <w:p w14:paraId="236BF777" w14:textId="77777777" w:rsidR="0076666D" w:rsidRPr="00385A14" w:rsidRDefault="0076666D" w:rsidP="00385A14">
      <w:pPr>
        <w:pStyle w:val="GvdeMetni"/>
      </w:pPr>
      <w:r w:rsidRPr="00385A14">
        <w:lastRenderedPageBreak/>
        <w:t>Adımlar: Çevre dostu kampanyalar ve geri dönüşüm projeleri düzenlemek.</w:t>
      </w:r>
    </w:p>
    <w:p w14:paraId="00014F66" w14:textId="77777777" w:rsidR="0076666D" w:rsidRPr="00385A14" w:rsidRDefault="0076666D" w:rsidP="00385A14">
      <w:pPr>
        <w:pStyle w:val="GvdeMetni"/>
      </w:pPr>
      <w:r w:rsidRPr="00385A14">
        <w:t>Yerel toplumlarla iş birliği yaparak sosyal sorumluluk projelerine destek vermek.</w:t>
      </w:r>
    </w:p>
    <w:p w14:paraId="4D4FB440" w14:textId="77777777" w:rsidR="0076666D" w:rsidRPr="00385A14" w:rsidRDefault="0076666D" w:rsidP="00385A14">
      <w:pPr>
        <w:pStyle w:val="GvdeMetni"/>
      </w:pPr>
      <w:r w:rsidRPr="00385A14">
        <w:t>Medya aracılığıyla bu projeleri geniş kitlelere duyurmak.</w:t>
      </w:r>
    </w:p>
    <w:p w14:paraId="05C2DDF0" w14:textId="77777777" w:rsidR="0076666D" w:rsidRPr="00385A14" w:rsidRDefault="0076666D" w:rsidP="00385A14">
      <w:pPr>
        <w:pStyle w:val="GvdeMetni"/>
      </w:pPr>
      <w:r w:rsidRPr="00385A14">
        <w:t>Zaman Çizelgesi: İlk 12 ay.</w:t>
      </w:r>
    </w:p>
    <w:p w14:paraId="1FC8E3A2" w14:textId="77777777" w:rsidR="0076666D" w:rsidRPr="00385A14" w:rsidRDefault="0076666D" w:rsidP="00385A14">
      <w:pPr>
        <w:pStyle w:val="GvdeMetni"/>
      </w:pPr>
      <w:r w:rsidRPr="00385A14">
        <w:t>Sorumlular: Halkla ilişkiler ekibi ve proje yöneticileri.</w:t>
      </w:r>
    </w:p>
    <w:p w14:paraId="78D16E1A" w14:textId="77777777" w:rsidR="0076666D" w:rsidRPr="00385A14" w:rsidRDefault="0076666D" w:rsidP="00385A14">
      <w:pPr>
        <w:pStyle w:val="GvdeMetni"/>
        <w:rPr>
          <w:rStyle w:val="Gl"/>
        </w:rPr>
      </w:pPr>
      <w:r w:rsidRPr="00385A14">
        <w:rPr>
          <w:rStyle w:val="Gl"/>
        </w:rPr>
        <w:t>6. Performans Değerlendirme ve Geri Bildirim Yönetimi</w:t>
      </w:r>
    </w:p>
    <w:p w14:paraId="1579DAC0" w14:textId="77777777" w:rsidR="0076666D" w:rsidRPr="00385A14" w:rsidRDefault="0076666D" w:rsidP="00385A14">
      <w:pPr>
        <w:pStyle w:val="GvdeMetni"/>
      </w:pPr>
      <w:r w:rsidRPr="00385A14">
        <w:t>Adımlar: Satış verileri, müşteri memnuniyeti anketleri ve sosyal medya etkileşimlerini analiz ederek stratejilerin etkinliğini değerlendirmek.</w:t>
      </w:r>
    </w:p>
    <w:p w14:paraId="7EC9C29A" w14:textId="77777777" w:rsidR="0076666D" w:rsidRPr="00385A14" w:rsidRDefault="0076666D" w:rsidP="00385A14">
      <w:pPr>
        <w:pStyle w:val="GvdeMetni"/>
      </w:pPr>
      <w:r w:rsidRPr="00385A14">
        <w:t>Gerekli görülen alanlarda stratejileri güncellemek ve iyileştirmek.</w:t>
      </w:r>
    </w:p>
    <w:p w14:paraId="1D3B7965" w14:textId="77777777" w:rsidR="0076666D" w:rsidRPr="00385A14" w:rsidRDefault="0076666D" w:rsidP="00385A14">
      <w:pPr>
        <w:pStyle w:val="GvdeMetni"/>
      </w:pPr>
      <w:r w:rsidRPr="00385A14">
        <w:t>Zaman Çizelgesi: İlk 12 ay boyunca periyodik olarak (örneğin, 3 ayda bir).</w:t>
      </w:r>
    </w:p>
    <w:p w14:paraId="0DACDD74" w14:textId="77777777" w:rsidR="0076666D" w:rsidRPr="00385A14" w:rsidRDefault="0076666D" w:rsidP="00385A14">
      <w:pPr>
        <w:pStyle w:val="GvdeMetni"/>
      </w:pPr>
      <w:r w:rsidRPr="00385A14">
        <w:t>Sorumlular: Veri analizi ekipleri ve strateji yöneticileri.</w:t>
      </w:r>
    </w:p>
    <w:p w14:paraId="26F6EDE6" w14:textId="77777777" w:rsidR="00385A14" w:rsidRDefault="00385A14" w:rsidP="00385A14">
      <w:pPr>
        <w:pStyle w:val="GvdeMetni"/>
      </w:pPr>
    </w:p>
    <w:p w14:paraId="7AE2054D" w14:textId="0F07528F" w:rsidR="00F04D66" w:rsidRPr="00385A14" w:rsidRDefault="0076666D" w:rsidP="00385A14">
      <w:pPr>
        <w:pStyle w:val="GvdeMetni"/>
        <w:ind w:firstLine="284"/>
      </w:pPr>
      <w:r w:rsidRPr="00385A14">
        <w:t>Bu uygulama planı, IKEA’nın marka imajını güçlendirmek için adım adım uygulanabilir bir çerçeve sunar. Her aşamanın başarıyla tamamlanması, IKEA'nın belirlenen hedeflere ulaşmasını sağlayacaktır.</w:t>
      </w:r>
    </w:p>
    <w:p w14:paraId="4BF24B24" w14:textId="77777777" w:rsidR="00F04D66" w:rsidRPr="00385A14" w:rsidRDefault="00F04D66" w:rsidP="00F04D66">
      <w:pPr>
        <w:pStyle w:val="NormalWeb"/>
        <w:rPr>
          <w:sz w:val="22"/>
          <w:szCs w:val="22"/>
        </w:rPr>
      </w:pPr>
      <w:r>
        <w:rPr>
          <w:rFonts w:ascii="SymbolMT" w:hAnsi="SymbolMT"/>
        </w:rPr>
        <w:t xml:space="preserve">• </w:t>
      </w:r>
      <w:r w:rsidRPr="00385A14">
        <w:rPr>
          <w:rFonts w:ascii="TimesNewRomanPS" w:hAnsi="TimesNewRomanPS"/>
          <w:b/>
          <w:bCs/>
          <w:sz w:val="28"/>
          <w:szCs w:val="28"/>
        </w:rPr>
        <w:t xml:space="preserve">Değerlendirme: </w:t>
      </w:r>
    </w:p>
    <w:p w14:paraId="30EB2177" w14:textId="41AC50FC" w:rsidR="00FE4F30" w:rsidRPr="00385A14" w:rsidRDefault="0076666D" w:rsidP="00385A14">
      <w:pPr>
        <w:pStyle w:val="NormalWeb"/>
        <w:ind w:firstLine="284"/>
        <w:rPr>
          <w:rFonts w:ascii="TimesNewRomanPSMT" w:hAnsi="TimesNewRomanPSMT"/>
          <w:sz w:val="28"/>
          <w:szCs w:val="28"/>
        </w:rPr>
        <w:sectPr w:rsidR="00FE4F30" w:rsidRPr="00385A14" w:rsidSect="003F5816">
          <w:headerReference w:type="default" r:id="rId7"/>
          <w:footerReference w:type="default" r:id="rId8"/>
          <w:type w:val="continuous"/>
          <w:pgSz w:w="11880" w:h="16800"/>
          <w:pgMar w:top="851" w:right="660" w:bottom="1276" w:left="620" w:header="0" w:footer="0" w:gutter="0"/>
          <w:cols w:space="708"/>
        </w:sectPr>
      </w:pPr>
      <w:r>
        <w:rPr>
          <w:rFonts w:ascii="TimesNewRomanPSMT" w:hAnsi="TimesNewRomanPSMT"/>
        </w:rPr>
        <w:t xml:space="preserve"> </w:t>
      </w:r>
      <w:r w:rsidRPr="00385A14">
        <w:rPr>
          <w:rFonts w:ascii="TimesNewRomanPSMT" w:hAnsi="TimesNewRomanPSMT"/>
        </w:rPr>
        <w:t>Geliştirilen stratejilerin etkisini değerlendirmek için düzenli olarak performans ölçütleri ve müşteri geri bildirimleri izlenecek. Bu değerlendirmeler sonucunda, stratejilerin başarısı analiz edilecek ve gerektiğinde revizyonlar yapılacak, iyileştirmeler sağlanacaktır. Örneğin, satış verileri, müşteri memnuniyet anketleri ve marka algısı araştırmalarıyla stratejilerin etkinliği sürekli olarak izlenecek ve gerekli düzeltmeler yapılacaktır.</w:t>
      </w:r>
      <w:r w:rsidR="00F04D66" w:rsidRPr="00385A14">
        <w:rPr>
          <w:rFonts w:ascii="TimesNewRomanPSMT" w:hAnsi="TimesNewRomanPSMT"/>
        </w:rPr>
        <w:t xml:space="preserve"> </w:t>
      </w:r>
      <w:r w:rsidR="00FE4F30" w:rsidRPr="00385A14">
        <w:rPr>
          <w:rFonts w:ascii="TimesNewRomanPSMT" w:hAnsi="TimesNewRomanPSMT"/>
          <w:sz w:val="28"/>
          <w:szCs w:val="28"/>
        </w:rPr>
        <w:drawing>
          <wp:anchor distT="0" distB="0" distL="0" distR="0" simplePos="0" relativeHeight="251659264" behindDoc="0" locked="0" layoutInCell="1" allowOverlap="1" wp14:anchorId="45773085" wp14:editId="088D4918">
            <wp:simplePos x="0" y="0"/>
            <wp:positionH relativeFrom="page">
              <wp:posOffset>4968113</wp:posOffset>
            </wp:positionH>
            <wp:positionV relativeFrom="paragraph">
              <wp:posOffset>378615</wp:posOffset>
            </wp:positionV>
            <wp:extent cx="22225" cy="5334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9" cstate="print"/>
                    <a:stretch>
                      <a:fillRect/>
                    </a:stretch>
                  </pic:blipFill>
                  <pic:spPr>
                    <a:xfrm>
                      <a:off x="0" y="0"/>
                      <a:ext cx="22225" cy="53340"/>
                    </a:xfrm>
                    <a:prstGeom prst="rect">
                      <a:avLst/>
                    </a:prstGeom>
                  </pic:spPr>
                </pic:pic>
              </a:graphicData>
            </a:graphic>
          </wp:anchor>
        </w:drawing>
      </w:r>
    </w:p>
    <w:p w14:paraId="57A95315" w14:textId="02DF8414" w:rsidR="0050420D" w:rsidRPr="00385A14" w:rsidRDefault="0050420D" w:rsidP="00385A14">
      <w:pPr>
        <w:pStyle w:val="NormalWeb"/>
        <w:rPr>
          <w:rFonts w:ascii="TimesNewRomanPSMT" w:hAnsi="TimesNewRomanPSMT"/>
          <w:sz w:val="28"/>
          <w:szCs w:val="28"/>
        </w:rPr>
      </w:pPr>
    </w:p>
    <w:sectPr w:rsidR="0050420D" w:rsidRPr="00385A14" w:rsidSect="003F5816">
      <w:footerReference w:type="default" r:id="rId10"/>
      <w:type w:val="continuous"/>
      <w:pgSz w:w="11880" w:h="16800"/>
      <w:pgMar w:top="1520" w:right="660" w:bottom="280" w:left="6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D1146" w14:textId="77777777" w:rsidR="00724DDB" w:rsidRDefault="00724DDB">
      <w:r>
        <w:separator/>
      </w:r>
    </w:p>
  </w:endnote>
  <w:endnote w:type="continuationSeparator" w:id="0">
    <w:p w14:paraId="5B83D30E" w14:textId="77777777" w:rsidR="00724DDB" w:rsidRDefault="00724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1230"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Pr="00E8677F">
        <w:rPr>
          <w:rFonts w:cs="Times New Roman"/>
          <w:color w:val="0563C1"/>
          <w:kern w:val="20"/>
          <w:sz w:val="20"/>
          <w:szCs w:val="20"/>
          <w:u w:val="single"/>
          <w:lang w:val="en-US" w:eastAsia="ja-JP"/>
        </w:rPr>
        <w:t>www.tncgroup.info</w:t>
      </w:r>
    </w:hyperlink>
  </w:p>
  <w:p w14:paraId="7E469A4B"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cs="Times New Roman"/>
        <w:color w:val="595959"/>
        <w:kern w:val="20"/>
        <w:sz w:val="20"/>
        <w:szCs w:val="20"/>
        <w:lang w:val="en-US" w:eastAsia="ja-JP"/>
      </w:rPr>
      <w:t xml:space="preserve"> </w:t>
    </w:r>
    <w:hyperlink r:id="rId2" w:history="1">
      <w:r w:rsidRPr="00E8677F">
        <w:rPr>
          <w:rFonts w:cs="Times New Roman"/>
          <w:color w:val="0563C1"/>
          <w:kern w:val="20"/>
          <w:sz w:val="20"/>
          <w:szCs w:val="20"/>
          <w:u w:val="single"/>
          <w:lang w:val="en-US" w:eastAsia="ja-JP"/>
        </w:rPr>
        <w:t>info@tncgroup.info</w:t>
      </w:r>
    </w:hyperlink>
  </w:p>
  <w:p w14:paraId="759A2DCC"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ascii="Arial" w:hAnsi="Arial" w:cs="Arial"/>
        <w:color w:val="595959"/>
        <w:kern w:val="20"/>
        <w:sz w:val="20"/>
        <w:szCs w:val="20"/>
        <w:lang w:val="en-US" w:eastAsia="ja-JP"/>
      </w:rPr>
      <w:t>+90 552 574 26 92</w:t>
    </w:r>
  </w:p>
  <w:p w14:paraId="3B9DDF4C" w14:textId="77777777" w:rsidR="00351E4A" w:rsidRDefault="00351E4A">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81178" w14:textId="77777777" w:rsidR="00724DDB" w:rsidRDefault="00724DDB">
      <w:r>
        <w:separator/>
      </w:r>
    </w:p>
  </w:footnote>
  <w:footnote w:type="continuationSeparator" w:id="0">
    <w:p w14:paraId="603C11E4" w14:textId="77777777" w:rsidR="00724DDB" w:rsidRDefault="00724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BF226" w14:textId="312B60ED" w:rsidR="005348D5" w:rsidRDefault="00464F3D">
    <w:pPr>
      <w:pStyle w:val="stBilgi"/>
    </w:pPr>
    <w:r>
      <w:rPr>
        <w:rFonts w:cs="Times New Roman"/>
        <w:noProof/>
        <w:color w:val="595959"/>
        <w:kern w:val="20"/>
        <w:sz w:val="20"/>
        <w:szCs w:val="20"/>
        <w:lang w:val="en-US" w:eastAsia="ja-JP"/>
        <w14:ligatures w14:val="standardContextual"/>
      </w:rPr>
      <w:drawing>
        <wp:anchor distT="0" distB="0" distL="114300" distR="114300" simplePos="0" relativeHeight="251661312" behindDoc="0" locked="0" layoutInCell="1" allowOverlap="1" wp14:anchorId="55821DED" wp14:editId="598FB284">
          <wp:simplePos x="0" y="0"/>
          <wp:positionH relativeFrom="column">
            <wp:posOffset>-415786</wp:posOffset>
          </wp:positionH>
          <wp:positionV relativeFrom="paragraph">
            <wp:posOffset>205740</wp:posOffset>
          </wp:positionV>
          <wp:extent cx="5726430" cy="967871"/>
          <wp:effectExtent l="0" t="0" r="1270" b="0"/>
          <wp:wrapNone/>
          <wp:docPr id="166768449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3362"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6430" cy="967871"/>
                  </a:xfrm>
                  <a:prstGeom prst="rect">
                    <a:avLst/>
                  </a:prstGeom>
                </pic:spPr>
              </pic:pic>
            </a:graphicData>
          </a:graphic>
          <wp14:sizeRelH relativeFrom="page">
            <wp14:pctWidth>0</wp14:pctWidth>
          </wp14:sizeRelH>
          <wp14:sizeRelV relativeFrom="page">
            <wp14:pctHeight>0</wp14:pctHeight>
          </wp14:sizeRelV>
        </wp:anchor>
      </w:drawing>
    </w:r>
  </w:p>
  <w:p w14:paraId="259BF16D" w14:textId="78C4CE4D" w:rsidR="005348D5" w:rsidRDefault="005348D5" w:rsidP="005348D5">
    <w:pPr>
      <w:pStyle w:val="stBilgi"/>
    </w:pPr>
  </w:p>
  <w:p w14:paraId="0C9538F9" w14:textId="6497A154" w:rsidR="005348D5" w:rsidRPr="005348D5" w:rsidRDefault="00464F3D"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r w:rsidRPr="005348D5">
      <w:rPr>
        <w:rFonts w:cs="Times New Roman"/>
        <w:noProof/>
        <w:color w:val="595959"/>
        <w:kern w:val="20"/>
        <w:sz w:val="20"/>
        <w:szCs w:val="20"/>
        <w:lang w:val="en-US" w:eastAsia="ja-JP"/>
      </w:rPr>
      <w:drawing>
        <wp:anchor distT="0" distB="0" distL="114300" distR="114300" simplePos="0" relativeHeight="251662336" behindDoc="0" locked="0" layoutInCell="1" allowOverlap="1" wp14:anchorId="3AADE440" wp14:editId="272E8427">
          <wp:simplePos x="0" y="0"/>
          <wp:positionH relativeFrom="column">
            <wp:posOffset>5389880</wp:posOffset>
          </wp:positionH>
          <wp:positionV relativeFrom="paragraph">
            <wp:posOffset>161925</wp:posOffset>
          </wp:positionV>
          <wp:extent cx="1635606" cy="457200"/>
          <wp:effectExtent l="0" t="0" r="0" b="0"/>
          <wp:wrapNone/>
          <wp:docPr id="843282005" name="Resim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896" name="Resim 2" descr="A black background with red text&#10;&#10;Description automatically generated"/>
                  <pic:cNvPicPr/>
                </pic:nvPicPr>
                <pic:blipFill rotWithShape="1">
                  <a:blip r:embed="rId2">
                    <a:extLst>
                      <a:ext uri="{28A0092B-C50C-407E-A947-70E740481C1C}">
                        <a14:useLocalDpi xmlns:a14="http://schemas.microsoft.com/office/drawing/2010/main" val="0"/>
                      </a:ext>
                    </a:extLst>
                  </a:blip>
                  <a:srcRect t="34165" b="37879"/>
                  <a:stretch/>
                </pic:blipFill>
                <pic:spPr bwMode="auto">
                  <a:xfrm>
                    <a:off x="0" y="0"/>
                    <a:ext cx="1635606"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75111" w14:textId="7CC5AA41" w:rsidR="005348D5" w:rsidRPr="005348D5" w:rsidRDefault="005348D5"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p>
  <w:p w14:paraId="6A89B82A" w14:textId="60C08E68" w:rsidR="005348D5" w:rsidRDefault="005348D5" w:rsidP="005348D5">
    <w:pPr>
      <w:pStyle w:val="stBilgi"/>
    </w:pPr>
  </w:p>
  <w:p w14:paraId="543C755F" w14:textId="77777777" w:rsidR="005348D5" w:rsidRDefault="005348D5">
    <w:pPr>
      <w:pStyle w:val="stBilgi"/>
    </w:pPr>
  </w:p>
  <w:p w14:paraId="0C612E9A" w14:textId="77777777" w:rsidR="005348D5" w:rsidRDefault="005348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num w:numId="1" w16cid:durableId="139608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A19E9"/>
    <w:rsid w:val="000E0E08"/>
    <w:rsid w:val="00110D14"/>
    <w:rsid w:val="00351E4A"/>
    <w:rsid w:val="00385A14"/>
    <w:rsid w:val="003C2457"/>
    <w:rsid w:val="003F5816"/>
    <w:rsid w:val="00464F3D"/>
    <w:rsid w:val="0050420D"/>
    <w:rsid w:val="005348D5"/>
    <w:rsid w:val="005C5009"/>
    <w:rsid w:val="00724DDB"/>
    <w:rsid w:val="0076666D"/>
    <w:rsid w:val="0096486B"/>
    <w:rsid w:val="00A52293"/>
    <w:rsid w:val="00A716CD"/>
    <w:rsid w:val="00B20E6B"/>
    <w:rsid w:val="00B22D87"/>
    <w:rsid w:val="00B26934"/>
    <w:rsid w:val="00BC173F"/>
    <w:rsid w:val="00C72D36"/>
    <w:rsid w:val="00D7006E"/>
    <w:rsid w:val="00D72FFC"/>
    <w:rsid w:val="00E8677F"/>
    <w:rsid w:val="00F04D66"/>
    <w:rsid w:val="00FE4F3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1"/>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paragraph" w:styleId="NormalWeb">
    <w:name w:val="Normal (Web)"/>
    <w:basedOn w:val="Normal"/>
    <w:uiPriority w:val="99"/>
    <w:unhideWhenUsed/>
    <w:rsid w:val="00F04D66"/>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85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57274">
      <w:bodyDiv w:val="1"/>
      <w:marLeft w:val="0"/>
      <w:marRight w:val="0"/>
      <w:marTop w:val="0"/>
      <w:marBottom w:val="0"/>
      <w:divBdr>
        <w:top w:val="none" w:sz="0" w:space="0" w:color="auto"/>
        <w:left w:val="none" w:sz="0" w:space="0" w:color="auto"/>
        <w:bottom w:val="none" w:sz="0" w:space="0" w:color="auto"/>
        <w:right w:val="none" w:sz="0" w:space="0" w:color="auto"/>
      </w:divBdr>
    </w:div>
    <w:div w:id="1408452414">
      <w:bodyDiv w:val="1"/>
      <w:marLeft w:val="0"/>
      <w:marRight w:val="0"/>
      <w:marTop w:val="0"/>
      <w:marBottom w:val="0"/>
      <w:divBdr>
        <w:top w:val="none" w:sz="0" w:space="0" w:color="auto"/>
        <w:left w:val="none" w:sz="0" w:space="0" w:color="auto"/>
        <w:bottom w:val="none" w:sz="0" w:space="0" w:color="auto"/>
        <w:right w:val="none" w:sz="0" w:space="0" w:color="auto"/>
      </w:divBdr>
      <w:divsChild>
        <w:div w:id="1199202076">
          <w:marLeft w:val="0"/>
          <w:marRight w:val="0"/>
          <w:marTop w:val="0"/>
          <w:marBottom w:val="0"/>
          <w:divBdr>
            <w:top w:val="none" w:sz="0" w:space="0" w:color="auto"/>
            <w:left w:val="none" w:sz="0" w:space="0" w:color="auto"/>
            <w:bottom w:val="none" w:sz="0" w:space="0" w:color="auto"/>
            <w:right w:val="none" w:sz="0" w:space="0" w:color="auto"/>
          </w:divBdr>
          <w:divsChild>
            <w:div w:id="660040142">
              <w:marLeft w:val="0"/>
              <w:marRight w:val="0"/>
              <w:marTop w:val="0"/>
              <w:marBottom w:val="0"/>
              <w:divBdr>
                <w:top w:val="none" w:sz="0" w:space="0" w:color="auto"/>
                <w:left w:val="none" w:sz="0" w:space="0" w:color="auto"/>
                <w:bottom w:val="none" w:sz="0" w:space="0" w:color="auto"/>
                <w:right w:val="none" w:sz="0" w:space="0" w:color="auto"/>
              </w:divBdr>
              <w:divsChild>
                <w:div w:id="344793715">
                  <w:marLeft w:val="0"/>
                  <w:marRight w:val="0"/>
                  <w:marTop w:val="0"/>
                  <w:marBottom w:val="0"/>
                  <w:divBdr>
                    <w:top w:val="none" w:sz="0" w:space="0" w:color="auto"/>
                    <w:left w:val="none" w:sz="0" w:space="0" w:color="auto"/>
                    <w:bottom w:val="none" w:sz="0" w:space="0" w:color="auto"/>
                    <w:right w:val="none" w:sz="0" w:space="0" w:color="auto"/>
                  </w:divBdr>
                  <w:divsChild>
                    <w:div w:id="20575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869">
              <w:marLeft w:val="0"/>
              <w:marRight w:val="0"/>
              <w:marTop w:val="0"/>
              <w:marBottom w:val="0"/>
              <w:divBdr>
                <w:top w:val="none" w:sz="0" w:space="0" w:color="auto"/>
                <w:left w:val="none" w:sz="0" w:space="0" w:color="auto"/>
                <w:bottom w:val="none" w:sz="0" w:space="0" w:color="auto"/>
                <w:right w:val="none" w:sz="0" w:space="0" w:color="auto"/>
              </w:divBdr>
              <w:divsChild>
                <w:div w:id="1956714512">
                  <w:marLeft w:val="0"/>
                  <w:marRight w:val="0"/>
                  <w:marTop w:val="0"/>
                  <w:marBottom w:val="0"/>
                  <w:divBdr>
                    <w:top w:val="none" w:sz="0" w:space="0" w:color="auto"/>
                    <w:left w:val="none" w:sz="0" w:space="0" w:color="auto"/>
                    <w:bottom w:val="none" w:sz="0" w:space="0" w:color="auto"/>
                    <w:right w:val="none" w:sz="0" w:space="0" w:color="auto"/>
                  </w:divBdr>
                  <w:divsChild>
                    <w:div w:id="762074124">
                      <w:marLeft w:val="0"/>
                      <w:marRight w:val="0"/>
                      <w:marTop w:val="0"/>
                      <w:marBottom w:val="0"/>
                      <w:divBdr>
                        <w:top w:val="none" w:sz="0" w:space="0" w:color="auto"/>
                        <w:left w:val="none" w:sz="0" w:space="0" w:color="auto"/>
                        <w:bottom w:val="none" w:sz="0" w:space="0" w:color="auto"/>
                        <w:right w:val="none" w:sz="0" w:space="0" w:color="auto"/>
                      </w:divBdr>
                    </w:div>
                  </w:divsChild>
                </w:div>
                <w:div w:id="150028956">
                  <w:marLeft w:val="0"/>
                  <w:marRight w:val="0"/>
                  <w:marTop w:val="0"/>
                  <w:marBottom w:val="0"/>
                  <w:divBdr>
                    <w:top w:val="none" w:sz="0" w:space="0" w:color="auto"/>
                    <w:left w:val="none" w:sz="0" w:space="0" w:color="auto"/>
                    <w:bottom w:val="none" w:sz="0" w:space="0" w:color="auto"/>
                    <w:right w:val="none" w:sz="0" w:space="0" w:color="auto"/>
                  </w:divBdr>
                  <w:divsChild>
                    <w:div w:id="774399320">
                      <w:marLeft w:val="0"/>
                      <w:marRight w:val="0"/>
                      <w:marTop w:val="0"/>
                      <w:marBottom w:val="0"/>
                      <w:divBdr>
                        <w:top w:val="none" w:sz="0" w:space="0" w:color="auto"/>
                        <w:left w:val="none" w:sz="0" w:space="0" w:color="auto"/>
                        <w:bottom w:val="none" w:sz="0" w:space="0" w:color="auto"/>
                        <w:right w:val="none" w:sz="0" w:space="0" w:color="auto"/>
                      </w:divBdr>
                    </w:div>
                  </w:divsChild>
                </w:div>
                <w:div w:id="742141631">
                  <w:marLeft w:val="0"/>
                  <w:marRight w:val="0"/>
                  <w:marTop w:val="0"/>
                  <w:marBottom w:val="0"/>
                  <w:divBdr>
                    <w:top w:val="none" w:sz="0" w:space="0" w:color="auto"/>
                    <w:left w:val="none" w:sz="0" w:space="0" w:color="auto"/>
                    <w:bottom w:val="none" w:sz="0" w:space="0" w:color="auto"/>
                    <w:right w:val="none" w:sz="0" w:space="0" w:color="auto"/>
                  </w:divBdr>
                  <w:divsChild>
                    <w:div w:id="1968775662">
                      <w:marLeft w:val="0"/>
                      <w:marRight w:val="0"/>
                      <w:marTop w:val="0"/>
                      <w:marBottom w:val="0"/>
                      <w:divBdr>
                        <w:top w:val="none" w:sz="0" w:space="0" w:color="auto"/>
                        <w:left w:val="none" w:sz="0" w:space="0" w:color="auto"/>
                        <w:bottom w:val="none" w:sz="0" w:space="0" w:color="auto"/>
                        <w:right w:val="none" w:sz="0" w:space="0" w:color="auto"/>
                      </w:divBdr>
                    </w:div>
                  </w:divsChild>
                </w:div>
                <w:div w:id="2095083640">
                  <w:marLeft w:val="0"/>
                  <w:marRight w:val="0"/>
                  <w:marTop w:val="0"/>
                  <w:marBottom w:val="0"/>
                  <w:divBdr>
                    <w:top w:val="none" w:sz="0" w:space="0" w:color="auto"/>
                    <w:left w:val="none" w:sz="0" w:space="0" w:color="auto"/>
                    <w:bottom w:val="none" w:sz="0" w:space="0" w:color="auto"/>
                    <w:right w:val="none" w:sz="0" w:space="0" w:color="auto"/>
                  </w:divBdr>
                  <w:divsChild>
                    <w:div w:id="1756973995">
                      <w:marLeft w:val="0"/>
                      <w:marRight w:val="0"/>
                      <w:marTop w:val="0"/>
                      <w:marBottom w:val="0"/>
                      <w:divBdr>
                        <w:top w:val="none" w:sz="0" w:space="0" w:color="auto"/>
                        <w:left w:val="none" w:sz="0" w:space="0" w:color="auto"/>
                        <w:bottom w:val="none" w:sz="0" w:space="0" w:color="auto"/>
                        <w:right w:val="none" w:sz="0" w:space="0" w:color="auto"/>
                      </w:divBdr>
                    </w:div>
                  </w:divsChild>
                </w:div>
                <w:div w:id="1114401046">
                  <w:marLeft w:val="0"/>
                  <w:marRight w:val="0"/>
                  <w:marTop w:val="0"/>
                  <w:marBottom w:val="0"/>
                  <w:divBdr>
                    <w:top w:val="none" w:sz="0" w:space="0" w:color="auto"/>
                    <w:left w:val="none" w:sz="0" w:space="0" w:color="auto"/>
                    <w:bottom w:val="none" w:sz="0" w:space="0" w:color="auto"/>
                    <w:right w:val="none" w:sz="0" w:space="0" w:color="auto"/>
                  </w:divBdr>
                  <w:divsChild>
                    <w:div w:id="1315573346">
                      <w:marLeft w:val="0"/>
                      <w:marRight w:val="0"/>
                      <w:marTop w:val="0"/>
                      <w:marBottom w:val="0"/>
                      <w:divBdr>
                        <w:top w:val="none" w:sz="0" w:space="0" w:color="auto"/>
                        <w:left w:val="none" w:sz="0" w:space="0" w:color="auto"/>
                        <w:bottom w:val="none" w:sz="0" w:space="0" w:color="auto"/>
                        <w:right w:val="none" w:sz="0" w:space="0" w:color="auto"/>
                      </w:divBdr>
                    </w:div>
                  </w:divsChild>
                </w:div>
                <w:div w:id="547642335">
                  <w:marLeft w:val="0"/>
                  <w:marRight w:val="0"/>
                  <w:marTop w:val="0"/>
                  <w:marBottom w:val="0"/>
                  <w:divBdr>
                    <w:top w:val="none" w:sz="0" w:space="0" w:color="auto"/>
                    <w:left w:val="none" w:sz="0" w:space="0" w:color="auto"/>
                    <w:bottom w:val="none" w:sz="0" w:space="0" w:color="auto"/>
                    <w:right w:val="none" w:sz="0" w:space="0" w:color="auto"/>
                  </w:divBdr>
                  <w:divsChild>
                    <w:div w:id="723218577">
                      <w:marLeft w:val="0"/>
                      <w:marRight w:val="0"/>
                      <w:marTop w:val="0"/>
                      <w:marBottom w:val="0"/>
                      <w:divBdr>
                        <w:top w:val="none" w:sz="0" w:space="0" w:color="auto"/>
                        <w:left w:val="none" w:sz="0" w:space="0" w:color="auto"/>
                        <w:bottom w:val="none" w:sz="0" w:space="0" w:color="auto"/>
                        <w:right w:val="none" w:sz="0" w:space="0" w:color="auto"/>
                      </w:divBdr>
                    </w:div>
                  </w:divsChild>
                </w:div>
                <w:div w:id="2085175657">
                  <w:marLeft w:val="0"/>
                  <w:marRight w:val="0"/>
                  <w:marTop w:val="0"/>
                  <w:marBottom w:val="0"/>
                  <w:divBdr>
                    <w:top w:val="none" w:sz="0" w:space="0" w:color="auto"/>
                    <w:left w:val="none" w:sz="0" w:space="0" w:color="auto"/>
                    <w:bottom w:val="none" w:sz="0" w:space="0" w:color="auto"/>
                    <w:right w:val="none" w:sz="0" w:space="0" w:color="auto"/>
                  </w:divBdr>
                  <w:divsChild>
                    <w:div w:id="214588789">
                      <w:marLeft w:val="0"/>
                      <w:marRight w:val="0"/>
                      <w:marTop w:val="0"/>
                      <w:marBottom w:val="0"/>
                      <w:divBdr>
                        <w:top w:val="none" w:sz="0" w:space="0" w:color="auto"/>
                        <w:left w:val="none" w:sz="0" w:space="0" w:color="auto"/>
                        <w:bottom w:val="none" w:sz="0" w:space="0" w:color="auto"/>
                        <w:right w:val="none" w:sz="0" w:space="0" w:color="auto"/>
                      </w:divBdr>
                    </w:div>
                  </w:divsChild>
                </w:div>
                <w:div w:id="622690116">
                  <w:marLeft w:val="0"/>
                  <w:marRight w:val="0"/>
                  <w:marTop w:val="0"/>
                  <w:marBottom w:val="0"/>
                  <w:divBdr>
                    <w:top w:val="none" w:sz="0" w:space="0" w:color="auto"/>
                    <w:left w:val="none" w:sz="0" w:space="0" w:color="auto"/>
                    <w:bottom w:val="none" w:sz="0" w:space="0" w:color="auto"/>
                    <w:right w:val="none" w:sz="0" w:space="0" w:color="auto"/>
                  </w:divBdr>
                  <w:divsChild>
                    <w:div w:id="1642029521">
                      <w:marLeft w:val="0"/>
                      <w:marRight w:val="0"/>
                      <w:marTop w:val="0"/>
                      <w:marBottom w:val="0"/>
                      <w:divBdr>
                        <w:top w:val="none" w:sz="0" w:space="0" w:color="auto"/>
                        <w:left w:val="none" w:sz="0" w:space="0" w:color="auto"/>
                        <w:bottom w:val="none" w:sz="0" w:space="0" w:color="auto"/>
                        <w:right w:val="none" w:sz="0" w:space="0" w:color="auto"/>
                      </w:divBdr>
                    </w:div>
                  </w:divsChild>
                </w:div>
                <w:div w:id="308215920">
                  <w:marLeft w:val="0"/>
                  <w:marRight w:val="0"/>
                  <w:marTop w:val="0"/>
                  <w:marBottom w:val="0"/>
                  <w:divBdr>
                    <w:top w:val="none" w:sz="0" w:space="0" w:color="auto"/>
                    <w:left w:val="none" w:sz="0" w:space="0" w:color="auto"/>
                    <w:bottom w:val="none" w:sz="0" w:space="0" w:color="auto"/>
                    <w:right w:val="none" w:sz="0" w:space="0" w:color="auto"/>
                  </w:divBdr>
                  <w:divsChild>
                    <w:div w:id="1875267443">
                      <w:marLeft w:val="0"/>
                      <w:marRight w:val="0"/>
                      <w:marTop w:val="0"/>
                      <w:marBottom w:val="0"/>
                      <w:divBdr>
                        <w:top w:val="none" w:sz="0" w:space="0" w:color="auto"/>
                        <w:left w:val="none" w:sz="0" w:space="0" w:color="auto"/>
                        <w:bottom w:val="none" w:sz="0" w:space="0" w:color="auto"/>
                        <w:right w:val="none" w:sz="0" w:space="0" w:color="auto"/>
                      </w:divBdr>
                    </w:div>
                  </w:divsChild>
                </w:div>
                <w:div w:id="1709065303">
                  <w:marLeft w:val="0"/>
                  <w:marRight w:val="0"/>
                  <w:marTop w:val="0"/>
                  <w:marBottom w:val="0"/>
                  <w:divBdr>
                    <w:top w:val="none" w:sz="0" w:space="0" w:color="auto"/>
                    <w:left w:val="none" w:sz="0" w:space="0" w:color="auto"/>
                    <w:bottom w:val="none" w:sz="0" w:space="0" w:color="auto"/>
                    <w:right w:val="none" w:sz="0" w:space="0" w:color="auto"/>
                  </w:divBdr>
                  <w:divsChild>
                    <w:div w:id="1655259834">
                      <w:marLeft w:val="0"/>
                      <w:marRight w:val="0"/>
                      <w:marTop w:val="0"/>
                      <w:marBottom w:val="0"/>
                      <w:divBdr>
                        <w:top w:val="none" w:sz="0" w:space="0" w:color="auto"/>
                        <w:left w:val="none" w:sz="0" w:space="0" w:color="auto"/>
                        <w:bottom w:val="none" w:sz="0" w:space="0" w:color="auto"/>
                        <w:right w:val="none" w:sz="0" w:space="0" w:color="auto"/>
                      </w:divBdr>
                    </w:div>
                  </w:divsChild>
                </w:div>
                <w:div w:id="1439131979">
                  <w:marLeft w:val="0"/>
                  <w:marRight w:val="0"/>
                  <w:marTop w:val="0"/>
                  <w:marBottom w:val="0"/>
                  <w:divBdr>
                    <w:top w:val="none" w:sz="0" w:space="0" w:color="auto"/>
                    <w:left w:val="none" w:sz="0" w:space="0" w:color="auto"/>
                    <w:bottom w:val="none" w:sz="0" w:space="0" w:color="auto"/>
                    <w:right w:val="none" w:sz="0" w:space="0" w:color="auto"/>
                  </w:divBdr>
                  <w:divsChild>
                    <w:div w:id="1647472059">
                      <w:marLeft w:val="0"/>
                      <w:marRight w:val="0"/>
                      <w:marTop w:val="0"/>
                      <w:marBottom w:val="0"/>
                      <w:divBdr>
                        <w:top w:val="none" w:sz="0" w:space="0" w:color="auto"/>
                        <w:left w:val="none" w:sz="0" w:space="0" w:color="auto"/>
                        <w:bottom w:val="none" w:sz="0" w:space="0" w:color="auto"/>
                        <w:right w:val="none" w:sz="0" w:space="0" w:color="auto"/>
                      </w:divBdr>
                    </w:div>
                  </w:divsChild>
                </w:div>
                <w:div w:id="888416233">
                  <w:marLeft w:val="0"/>
                  <w:marRight w:val="0"/>
                  <w:marTop w:val="0"/>
                  <w:marBottom w:val="0"/>
                  <w:divBdr>
                    <w:top w:val="none" w:sz="0" w:space="0" w:color="auto"/>
                    <w:left w:val="none" w:sz="0" w:space="0" w:color="auto"/>
                    <w:bottom w:val="none" w:sz="0" w:space="0" w:color="auto"/>
                    <w:right w:val="none" w:sz="0" w:space="0" w:color="auto"/>
                  </w:divBdr>
                  <w:divsChild>
                    <w:div w:id="159740340">
                      <w:marLeft w:val="0"/>
                      <w:marRight w:val="0"/>
                      <w:marTop w:val="0"/>
                      <w:marBottom w:val="0"/>
                      <w:divBdr>
                        <w:top w:val="none" w:sz="0" w:space="0" w:color="auto"/>
                        <w:left w:val="none" w:sz="0" w:space="0" w:color="auto"/>
                        <w:bottom w:val="none" w:sz="0" w:space="0" w:color="auto"/>
                        <w:right w:val="none" w:sz="0" w:space="0" w:color="auto"/>
                      </w:divBdr>
                    </w:div>
                  </w:divsChild>
                </w:div>
                <w:div w:id="253128650">
                  <w:marLeft w:val="0"/>
                  <w:marRight w:val="0"/>
                  <w:marTop w:val="0"/>
                  <w:marBottom w:val="0"/>
                  <w:divBdr>
                    <w:top w:val="none" w:sz="0" w:space="0" w:color="auto"/>
                    <w:left w:val="none" w:sz="0" w:space="0" w:color="auto"/>
                    <w:bottom w:val="none" w:sz="0" w:space="0" w:color="auto"/>
                    <w:right w:val="none" w:sz="0" w:space="0" w:color="auto"/>
                  </w:divBdr>
                  <w:divsChild>
                    <w:div w:id="850149231">
                      <w:marLeft w:val="0"/>
                      <w:marRight w:val="0"/>
                      <w:marTop w:val="0"/>
                      <w:marBottom w:val="0"/>
                      <w:divBdr>
                        <w:top w:val="none" w:sz="0" w:space="0" w:color="auto"/>
                        <w:left w:val="none" w:sz="0" w:space="0" w:color="auto"/>
                        <w:bottom w:val="none" w:sz="0" w:space="0" w:color="auto"/>
                        <w:right w:val="none" w:sz="0" w:space="0" w:color="auto"/>
                      </w:divBdr>
                    </w:div>
                  </w:divsChild>
                </w:div>
                <w:div w:id="456485610">
                  <w:marLeft w:val="0"/>
                  <w:marRight w:val="0"/>
                  <w:marTop w:val="0"/>
                  <w:marBottom w:val="0"/>
                  <w:divBdr>
                    <w:top w:val="none" w:sz="0" w:space="0" w:color="auto"/>
                    <w:left w:val="none" w:sz="0" w:space="0" w:color="auto"/>
                    <w:bottom w:val="none" w:sz="0" w:space="0" w:color="auto"/>
                    <w:right w:val="none" w:sz="0" w:space="0" w:color="auto"/>
                  </w:divBdr>
                  <w:divsChild>
                    <w:div w:id="1033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SELIN PIR</cp:lastModifiedBy>
  <cp:revision>4</cp:revision>
  <dcterms:created xsi:type="dcterms:W3CDTF">2024-02-22T08:14:00Z</dcterms:created>
  <dcterms:modified xsi:type="dcterms:W3CDTF">2024-11-24T14:21:00Z</dcterms:modified>
</cp:coreProperties>
</file>