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E95" w14:textId="75CD7527" w:rsidR="00E26319" w:rsidRDefault="00FE4F30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36744" w14:textId="77777777" w:rsidR="00945097" w:rsidRPr="00E26319" w:rsidRDefault="00945097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14:paraId="26E731C5" w14:textId="77777777" w:rsidR="00E26319" w:rsidRDefault="00E26319" w:rsidP="00E26319">
      <w:pPr>
        <w:rPr>
          <w:rFonts w:ascii="Times New Roman" w:hAnsi="Times New Roman" w:cs="Times New Roman"/>
          <w:sz w:val="24"/>
          <w:szCs w:val="24"/>
        </w:rPr>
      </w:pPr>
    </w:p>
    <w:p w14:paraId="4FFE4ED8" w14:textId="45B4DB00" w:rsidR="00E26319" w:rsidRPr="00E26319" w:rsidRDefault="00E26319" w:rsidP="00E26319">
      <w:pPr>
        <w:pStyle w:val="stBilgi"/>
        <w:jc w:val="center"/>
        <w:rPr>
          <w:b/>
          <w:bCs/>
          <w:sz w:val="40"/>
          <w:szCs w:val="40"/>
        </w:rPr>
      </w:pPr>
      <w:r w:rsidRPr="00E26319">
        <w:rPr>
          <w:b/>
          <w:bCs/>
          <w:sz w:val="40"/>
          <w:szCs w:val="40"/>
        </w:rPr>
        <w:t xml:space="preserve">Proje Başlatma Belgesi </w:t>
      </w:r>
    </w:p>
    <w:p w14:paraId="0A22C7ED" w14:textId="6A238564" w:rsidR="00E26319" w:rsidRPr="00E26319" w:rsidRDefault="00E26319" w:rsidP="00E26319">
      <w:pPr>
        <w:tabs>
          <w:tab w:val="left" w:pos="176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36ADBBE" w14:textId="77777777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2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6"/>
        <w:gridCol w:w="3708"/>
        <w:gridCol w:w="146"/>
      </w:tblGrid>
      <w:tr w:rsidR="00E26319" w:rsidRPr="00A078B2" w14:paraId="42819200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DEF1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Başlatma Belgesi </w:t>
            </w:r>
          </w:p>
        </w:tc>
      </w:tr>
      <w:tr w:rsidR="00E26319" w:rsidRPr="00A078B2" w14:paraId="59C7CFC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CAEAA7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 xml:space="preserve">Proje Yöneticisinin Adı-Soyadı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6991503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>Proje Sponsorunun Adı-Soyadı</w:t>
            </w:r>
          </w:p>
        </w:tc>
      </w:tr>
      <w:tr w:rsidR="00E26319" w:rsidRPr="00A078B2" w14:paraId="5E4ADFBC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17C091F" w14:textId="4FE0AB8D" w:rsidR="00E26319" w:rsidRPr="00A078B2" w:rsidRDefault="00E85F22" w:rsidP="00E85F22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Selin Pir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E76CAB1" w14:textId="0BD4C12E" w:rsidR="00E26319" w:rsidRPr="00A078B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Özlem Saraçoğlu</w:t>
            </w:r>
          </w:p>
        </w:tc>
      </w:tr>
      <w:tr w:rsidR="00E26319" w:rsidRPr="00A078B2" w14:paraId="5FBAE6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1DAA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1F4" w14:textId="3A2DD375" w:rsidR="00E26319" w:rsidRPr="00A078B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Restoran Yönetim Sistemi (RMS)</w:t>
            </w:r>
          </w:p>
        </w:tc>
      </w:tr>
      <w:tr w:rsidR="00E26319" w:rsidRPr="00A078B2" w14:paraId="1495BAC6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02598D8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Proje Müşterisi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D655C60" w14:textId="0925E62A" w:rsidR="00E26319" w:rsidRP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Köfteci Yusuf A.Ş.</w:t>
            </w:r>
          </w:p>
        </w:tc>
      </w:tr>
      <w:tr w:rsidR="00E26319" w:rsidRPr="00A078B2" w14:paraId="6695000A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06FC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Özet Proje Tanımı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7CF35" w14:textId="78EDC7B2" w:rsidR="00E26319" w:rsidRPr="002E5178" w:rsidRDefault="00E85F22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 Yönetim Sistemi (RMS), restoranların günlük operasyonlarını dijital ortamda yönetmelerini sağlayan bir yazılımdır. Sipariş alma, menü yönetimi, mutfak takibi, ödeme ve müşteri geri bildirimlerini birleştirerek verimliliği artı</w:t>
            </w: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rması hedeflenir</w:t>
            </w: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. Mobil ve masaüstü platformlarda kullanılabilen sistem, iş yükünü azaltırken, hızlı ve verimli hizmet sunar, maliyetleri düşürür ve müşteri memnuniyetini artırır.</w:t>
            </w:r>
          </w:p>
        </w:tc>
      </w:tr>
      <w:tr w:rsidR="00E26319" w:rsidRPr="00A078B2" w14:paraId="2121176B" w14:textId="77777777" w:rsidTr="00C70E9C">
        <w:trPr>
          <w:gridAfter w:val="1"/>
          <w:wAfter w:w="146" w:type="dxa"/>
          <w:trHeight w:val="121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BDDA70" w14:textId="77777777" w:rsidR="00E26319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Projenin Temel Hedefi </w:t>
            </w:r>
          </w:p>
          <w:p w14:paraId="48E12373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7B0A8134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7D2F6D06" w14:textId="77777777" w:rsidR="00E85F22" w:rsidRPr="00A078B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840E6CD" w14:textId="4211DD7C" w:rsidR="00E85F22" w:rsidRPr="002E5178" w:rsidRDefault="00E85F22" w:rsidP="00E85F2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Restoranların</w:t>
            </w: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günlük operasyonlarını dijitalleştirerek verimlilik artırmak, iş süreçlerini hızlandırmak ve müşteri memnuniyetini iyileştirmektir.</w:t>
            </w:r>
          </w:p>
          <w:p w14:paraId="206260F4" w14:textId="77777777" w:rsidR="00E85F22" w:rsidRPr="002E5178" w:rsidRDefault="00E85F22" w:rsidP="00E85F2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7D20628E" w14:textId="77777777" w:rsidR="00E85F22" w:rsidRPr="00E85F22" w:rsidRDefault="00E85F22" w:rsidP="00E85F2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1F7686E1" w14:textId="77777777" w:rsidR="00E26319" w:rsidRPr="002E5178" w:rsidRDefault="00E26319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E26319" w:rsidRPr="00A078B2" w14:paraId="64B32CCE" w14:textId="77777777" w:rsidTr="00C70E9C">
        <w:trPr>
          <w:gridAfter w:val="1"/>
          <w:wAfter w:w="146" w:type="dxa"/>
          <w:trHeight w:val="11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BF33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7EBBA2CE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618077C3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69A83D4A" w14:textId="77777777" w:rsidR="00E85F22" w:rsidRDefault="00E85F22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0D8C27C2" w14:textId="187F6090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Projenin Özet Gerekçesi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774D" w14:textId="77777777" w:rsidR="00E85F22" w:rsidRPr="002E5178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  <w:p w14:paraId="29E7F2D3" w14:textId="2B32252A" w:rsidR="00E85F22" w:rsidRPr="00E85F22" w:rsidRDefault="00E85F22" w:rsidP="00E85F22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Restoranlar, geleneksel yöntemlerle verimlilik ve müşteri memnuniyeti konusunda zorluklar yaşayabilir. Dijital bir yönetim sistemi, operasyonel süreçleri hızlandırır, hataları azaltır ve maliyetleri düşürür. Bu nedenle, Restoran Yönetim Sistemi (RMS), işletmelerin </w:t>
            </w: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lastRenderedPageBreak/>
              <w:t>verimliliğini artırmak ve rekabetçi kalmalarını sağlamak için önemlidir.</w:t>
            </w:r>
          </w:p>
          <w:p w14:paraId="54DE06AE" w14:textId="77777777" w:rsidR="00E26319" w:rsidRPr="002E5178" w:rsidRDefault="00E26319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E26319" w:rsidRPr="00A078B2" w14:paraId="302C2AE9" w14:textId="77777777" w:rsidTr="00C70E9C">
        <w:trPr>
          <w:gridAfter w:val="1"/>
          <w:wAfter w:w="146" w:type="dxa"/>
          <w:trHeight w:val="163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AD4BE" w14:textId="3987DF1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 xml:space="preserve">Proje Sonucunda </w:t>
            </w:r>
            <w:r w:rsidR="00E85F22"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Oluşturulması</w:t>
            </w: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Hedeflenen Çıktılar</w:t>
            </w: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br/>
              <w:t xml:space="preserve">(Teslimatlar)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CBBDB1F" w14:textId="44727977" w:rsidR="00E85F22" w:rsidRPr="00E85F22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Sipariş Alma Modülü</w:t>
            </w:r>
          </w:p>
          <w:p w14:paraId="2DD2222F" w14:textId="76AA9CCC" w:rsidR="00E85F22" w:rsidRPr="00E85F22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Menü Yönetim Paneli</w:t>
            </w:r>
          </w:p>
          <w:p w14:paraId="71762A75" w14:textId="0A4E44C2" w:rsidR="00E85F22" w:rsidRPr="00E85F22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Mutfak Takip Sistemi</w:t>
            </w:r>
          </w:p>
          <w:p w14:paraId="5D47ABFC" w14:textId="77B089AF" w:rsidR="00E85F22" w:rsidRPr="00E85F22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E85F22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Ödeme ve Faturalama Modülü</w:t>
            </w:r>
          </w:p>
          <w:p w14:paraId="28506B2B" w14:textId="2A183A01" w:rsidR="00E26319" w:rsidRPr="002E5178" w:rsidRDefault="00E85F22" w:rsidP="00E85F22">
            <w:pPr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Müşteri Geri Bildirim Sistemi </w:t>
            </w:r>
          </w:p>
        </w:tc>
      </w:tr>
      <w:tr w:rsidR="00E26319" w:rsidRPr="00A078B2" w14:paraId="6342211F" w14:textId="77777777" w:rsidTr="00C70E9C">
        <w:trPr>
          <w:gridAfter w:val="1"/>
          <w:wAfter w:w="146" w:type="dxa"/>
          <w:trHeight w:val="14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01C4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Kısıtlar ve Varsayımlar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8C673" w14:textId="77777777" w:rsidR="00E26319" w:rsidRPr="002E5178" w:rsidRDefault="002E5178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Restoranların mevcut donanımları ve altyapıları sisteme tam uyumlu olmayabilir.</w:t>
            </w:r>
          </w:p>
          <w:p w14:paraId="69A855E5" w14:textId="77777777" w:rsidR="002E5178" w:rsidRPr="002E5178" w:rsidRDefault="002E5178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Sistemin tüm restoran çalışanlarına öğretilecek eğitim süresi sınırlıdır.</w:t>
            </w:r>
          </w:p>
          <w:p w14:paraId="2DF0F697" w14:textId="77777777" w:rsidR="002E5178" w:rsidRDefault="002E5178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Restoranlar, sistemin gereksinimlerini karşılayacak temel donanıma sahip olacaklardır.</w:t>
            </w:r>
          </w:p>
          <w:p w14:paraId="558B7CDE" w14:textId="6EE1040E" w:rsidR="002E5178" w:rsidRPr="002E5178" w:rsidRDefault="002E5178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Yazılımın </w:t>
            </w: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geliştirilmesi sırasında gerekli kaynaklara</w:t>
            </w:r>
            <w:r w:rsidRPr="002E5178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erişim sağlanacaktır.</w:t>
            </w:r>
          </w:p>
        </w:tc>
      </w:tr>
      <w:tr w:rsidR="00E26319" w:rsidRPr="00A078B2" w14:paraId="3C6D8EB2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FD7F3F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Potansiyel Proje Riskleri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2384E68" w14:textId="77777777" w:rsidR="00E26319" w:rsidRPr="005B2064" w:rsidRDefault="005B2064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Restoranların mevcut sistemleriyle yeni yazılımın entegrasyonunda uyumsuzluklar yaşanabilir.</w:t>
            </w:r>
          </w:p>
          <w:p w14:paraId="683AAA80" w14:textId="77777777" w:rsidR="005B2064" w:rsidRPr="005B2064" w:rsidRDefault="005B2064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Çalışanlar, yeni sisteme alışmakta zorluk yaşayabilir ve eğitim süreçleri beklenenden uzun sürebilir.</w:t>
            </w:r>
          </w:p>
          <w:p w14:paraId="456BF34E" w14:textId="77777777" w:rsidR="005B2064" w:rsidRPr="005B2064" w:rsidRDefault="005B2064" w:rsidP="00C70E9C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Dijital ödeme ve müşteri verilerinin güvenliği ile ilgili potansiyel riskler ve siber saldırılar.</w:t>
            </w: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</w:p>
          <w:p w14:paraId="6A077DAF" w14:textId="2EC1371C" w:rsidR="005B2064" w:rsidRPr="00A078B2" w:rsidRDefault="005B2064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4"/>
                <w:szCs w:val="24"/>
                <w:lang w:eastAsia="tr-TR"/>
              </w:rPr>
              <w:t>Restoranların dijital çözüme geçişi konusunda direnç göstermesi ve sistemi kullanmamaları riski.</w:t>
            </w:r>
          </w:p>
        </w:tc>
      </w:tr>
      <w:tr w:rsidR="00E26319" w:rsidRPr="00A078B2" w14:paraId="359DEB25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20A0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Anahtar Paydaşlar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992FC" w14:textId="77777777" w:rsidR="005B2064" w:rsidRDefault="005B2064" w:rsidP="005B2064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Yöneticisi </w:t>
            </w:r>
          </w:p>
          <w:p w14:paraId="28F6E195" w14:textId="77777777" w:rsidR="005B2064" w:rsidRDefault="005B2064" w:rsidP="005B2064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Restoran Sahibi/Yönetici Yazılım Geliştirici Ekibi</w:t>
            </w:r>
          </w:p>
          <w:p w14:paraId="6A6D7F0F" w14:textId="7E088C2F" w:rsidR="005B2064" w:rsidRPr="005B2064" w:rsidRDefault="005B2064" w:rsidP="005B2064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UI/UX Tasarımcıları Test Uzmanları Restoran Çalışanları İşletme Danışmanları</w:t>
            </w:r>
          </w:p>
          <w:p w14:paraId="1CD86B6D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E26319" w:rsidRPr="00A078B2" w14:paraId="72737448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52CD47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lastRenderedPageBreak/>
              <w:t xml:space="preserve">Tahmini Bütçe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199C04F" w14:textId="46115216" w:rsidR="00E26319" w:rsidRPr="00A078B2" w:rsidRDefault="005B2064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70.000 dolar</w:t>
            </w:r>
          </w:p>
        </w:tc>
      </w:tr>
      <w:tr w:rsidR="00E26319" w:rsidRPr="00A078B2" w14:paraId="20FFE870" w14:textId="77777777" w:rsidTr="00C70E9C">
        <w:trPr>
          <w:gridAfter w:val="1"/>
          <w:wAfter w:w="146" w:type="dxa"/>
          <w:trHeight w:val="126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E956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Kabul Gereksinimleri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479C3" w14:textId="4F76BAF2" w:rsidR="00E26319" w:rsidRPr="00A078B2" w:rsidRDefault="005B2064" w:rsidP="005B2064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Canlıya çıkış için yeterlilik</w:t>
            </w:r>
          </w:p>
        </w:tc>
      </w:tr>
      <w:tr w:rsidR="00E26319" w:rsidRPr="00A078B2" w14:paraId="1E48AD73" w14:textId="77777777" w:rsidTr="00C70E9C">
        <w:trPr>
          <w:gridAfter w:val="1"/>
          <w:wAfter w:w="146" w:type="dxa"/>
          <w:trHeight w:val="109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4C5D1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Çıkış Kriterleri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4A58E16" w14:textId="5F3DD96D" w:rsidR="00E26319" w:rsidRPr="00A078B2" w:rsidRDefault="005B2064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5B206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Yeni sistemin canlıya alınabilmesi</w:t>
            </w:r>
          </w:p>
        </w:tc>
      </w:tr>
      <w:tr w:rsidR="00E26319" w:rsidRPr="00A078B2" w14:paraId="13AA27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32C4E1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 Hedefleri </w:t>
            </w:r>
          </w:p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7DD1A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Ölçülebilir Başarı Kriterleri</w:t>
            </w:r>
          </w:p>
        </w:tc>
      </w:tr>
      <w:tr w:rsidR="00E26319" w:rsidRPr="00A078B2" w14:paraId="3BA352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C6D3C0" w14:textId="2E89EBDB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</w:t>
            </w:r>
            <w:r w:rsidR="003F3E84" w:rsidRPr="003F3E84">
              <w:t xml:space="preserve"> </w:t>
            </w:r>
            <w:r w:rsidR="003F3E84" w:rsidRPr="003F3E8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Yüksek Performans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43B61729" w14:textId="2D77199C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Yeni sistemde ilk raporların alınması</w:t>
            </w:r>
          </w:p>
        </w:tc>
      </w:tr>
      <w:tr w:rsidR="00E26319" w:rsidRPr="00A078B2" w14:paraId="5FA724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CB6A6" w14:textId="10B70C7E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</w:t>
            </w:r>
            <w:r w:rsidR="003F3E84" w:rsidRPr="003F3E84">
              <w:t xml:space="preserve"> </w:t>
            </w:r>
            <w:r w:rsidR="003F3E84" w:rsidRPr="003F3E8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Hızlı ve Verimli Süreç Yönetim</w:t>
            </w:r>
            <w:r w:rsidR="003F3E8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17BC7F" w14:textId="576CF31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Farklı 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modüllerde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raporlamaların çıkışı</w:t>
            </w:r>
          </w:p>
        </w:tc>
      </w:tr>
      <w:tr w:rsidR="00E26319" w:rsidRPr="00A078B2" w14:paraId="5B0C38B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CF146" w14:textId="3D33D2B2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</w:t>
            </w:r>
            <w:r w:rsidR="003F3E84" w:rsidRPr="003F3E84">
              <w:t xml:space="preserve"> </w:t>
            </w:r>
            <w:r w:rsidR="003F3E84" w:rsidRPr="003F3E8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Müşteri Memnuniyeti ve Geri Bildirim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7F00C180" w14:textId="6B7E5C3D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3F3E84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Müşteri deneyimi</w:t>
            </w:r>
          </w:p>
        </w:tc>
      </w:tr>
      <w:tr w:rsidR="00E26319" w:rsidRPr="00A078B2" w14:paraId="4B8012D1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9CAC7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Temel Kilometre Taşları </w:t>
            </w:r>
          </w:p>
          <w:p w14:paraId="6A153ADD" w14:textId="77777777" w:rsidR="00E26319" w:rsidRPr="00A078B2" w:rsidRDefault="00E26319" w:rsidP="00C70E9C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2E8AC5BF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EB04C" w14:textId="5C50C0CA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</w:t>
            </w:r>
            <w:r w:rsidR="00770902">
              <w:t xml:space="preserve"> </w:t>
            </w:r>
            <w:r w:rsidR="00770902" w:rsidRPr="0077090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Başlangıç ve Planlama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1B51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1B95174A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109A1" w14:textId="494322FC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</w:t>
            </w:r>
            <w:r w:rsidR="00770902">
              <w:t xml:space="preserve"> </w:t>
            </w:r>
            <w:r w:rsidR="00770902" w:rsidRPr="0077090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Tasarım, Geliştirme ve Test Süreçleri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B25C8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789EED7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AB3D1C" w14:textId="17BD7C53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</w:t>
            </w:r>
            <w:r w:rsidR="00770902">
              <w:t xml:space="preserve"> </w:t>
            </w:r>
            <w:r w:rsidR="00770902" w:rsidRPr="0077090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Sistemin Uygulama ve Devreye Alınması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4319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E26319" w:rsidRPr="00A078B2" w14:paraId="3F68D464" w14:textId="77777777" w:rsidTr="00C70E9C">
        <w:trPr>
          <w:gridAfter w:val="1"/>
          <w:wAfter w:w="146" w:type="dxa"/>
          <w:trHeight w:val="300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826AE" w14:textId="77777777" w:rsidR="00E26319" w:rsidRPr="00A078B2" w:rsidRDefault="00E26319" w:rsidP="00C70E9C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082DB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26319" w:rsidRPr="00A078B2" w14:paraId="74D84890" w14:textId="77777777" w:rsidTr="00C70E9C">
        <w:trPr>
          <w:gridAfter w:val="1"/>
          <w:wAfter w:w="146" w:type="dxa"/>
          <w:trHeight w:val="315"/>
        </w:trPr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8C916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3712C7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26319" w:rsidRPr="00A078B2" w14:paraId="585535E8" w14:textId="77777777" w:rsidTr="00C70E9C">
        <w:trPr>
          <w:gridAfter w:val="1"/>
          <w:wAfter w:w="146" w:type="dxa"/>
          <w:trHeight w:val="450"/>
        </w:trPr>
        <w:tc>
          <w:tcPr>
            <w:tcW w:w="5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A849" w14:textId="16EAE8DA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Tarih: </w:t>
            </w:r>
            <w:r w:rsidR="00770902">
              <w:rPr>
                <w:rFonts w:eastAsia="Times New Roman"/>
                <w:color w:val="000000"/>
                <w:lang w:eastAsia="tr-TR"/>
              </w:rPr>
              <w:t>25.11.2024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C89E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Sponsor İmzası </w:t>
            </w:r>
          </w:p>
        </w:tc>
      </w:tr>
      <w:tr w:rsidR="00E26319" w:rsidRPr="00A078B2" w14:paraId="0FEC4A58" w14:textId="77777777" w:rsidTr="00C70E9C">
        <w:trPr>
          <w:trHeight w:val="300"/>
        </w:trPr>
        <w:tc>
          <w:tcPr>
            <w:tcW w:w="54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01DD52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47D09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1D7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E26319" w:rsidRPr="00A078B2" w14:paraId="22F9D5DF" w14:textId="77777777" w:rsidTr="00C70E9C">
        <w:trPr>
          <w:trHeight w:val="315"/>
        </w:trPr>
        <w:tc>
          <w:tcPr>
            <w:tcW w:w="5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CBF26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02F2" w14:textId="77777777" w:rsidR="00E26319" w:rsidRPr="00A078B2" w:rsidRDefault="00E26319" w:rsidP="00C70E9C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E90" w14:textId="77777777" w:rsidR="00E26319" w:rsidRPr="00A078B2" w:rsidRDefault="00E26319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81B1E6C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  <w:sectPr w:rsidR="00E26319" w:rsidRPr="00E26319" w:rsidSect="00E26319">
          <w:headerReference w:type="default" r:id="rId8"/>
          <w:footerReference w:type="default" r:id="rId9"/>
          <w:type w:val="continuous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3F5816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D70E1" w14:textId="77777777" w:rsidR="000A39B4" w:rsidRDefault="000A39B4">
      <w:r>
        <w:separator/>
      </w:r>
    </w:p>
  </w:endnote>
  <w:endnote w:type="continuationSeparator" w:id="0">
    <w:p w14:paraId="70FF230C" w14:textId="77777777" w:rsidR="000A39B4" w:rsidRDefault="000A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DD3F0" w14:textId="77777777" w:rsidR="000A39B4" w:rsidRDefault="000A39B4">
      <w:r>
        <w:separator/>
      </w:r>
    </w:p>
  </w:footnote>
  <w:footnote w:type="continuationSeparator" w:id="0">
    <w:p w14:paraId="020EFC19" w14:textId="77777777" w:rsidR="000A39B4" w:rsidRDefault="000A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218C9A95">
          <wp:simplePos x="0" y="0"/>
          <wp:positionH relativeFrom="column">
            <wp:posOffset>-918658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68282DD1">
          <wp:simplePos x="0" y="0"/>
          <wp:positionH relativeFrom="column">
            <wp:posOffset>4940300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A19E9"/>
    <w:rsid w:val="000A39B4"/>
    <w:rsid w:val="000B56B6"/>
    <w:rsid w:val="00101EC6"/>
    <w:rsid w:val="00110D14"/>
    <w:rsid w:val="002E5178"/>
    <w:rsid w:val="00351E4A"/>
    <w:rsid w:val="003C2457"/>
    <w:rsid w:val="003F3E84"/>
    <w:rsid w:val="003F5816"/>
    <w:rsid w:val="0043554C"/>
    <w:rsid w:val="00464F3D"/>
    <w:rsid w:val="0050420D"/>
    <w:rsid w:val="005348D5"/>
    <w:rsid w:val="005B2064"/>
    <w:rsid w:val="005C5009"/>
    <w:rsid w:val="006E5F23"/>
    <w:rsid w:val="00770902"/>
    <w:rsid w:val="00945097"/>
    <w:rsid w:val="0096486B"/>
    <w:rsid w:val="009F3109"/>
    <w:rsid w:val="00A52293"/>
    <w:rsid w:val="00A716CD"/>
    <w:rsid w:val="00B02E7B"/>
    <w:rsid w:val="00B20E6B"/>
    <w:rsid w:val="00B26934"/>
    <w:rsid w:val="00BC173F"/>
    <w:rsid w:val="00C72D36"/>
    <w:rsid w:val="00D7006E"/>
    <w:rsid w:val="00E26319"/>
    <w:rsid w:val="00E85F22"/>
    <w:rsid w:val="00E8677F"/>
    <w:rsid w:val="00EF44EA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SELIN PIR</cp:lastModifiedBy>
  <cp:revision>6</cp:revision>
  <dcterms:created xsi:type="dcterms:W3CDTF">2024-02-22T08:02:00Z</dcterms:created>
  <dcterms:modified xsi:type="dcterms:W3CDTF">2024-11-24T17:36:00Z</dcterms:modified>
</cp:coreProperties>
</file>