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74C3C"/>
        </w:rPr>
        <w:t>Digital Maturity Assessment Report</w:t>
      </w:r>
    </w:p>
    <w:p/>
    <w:p>
      <w:r>
        <w:rPr>
          <w:b/>
        </w:rPr>
        <w:t xml:space="preserve">Company: </w:t>
      </w:r>
      <w:r>
        <w:t>Digital Enterprises</w:t>
        <w:br/>
      </w:r>
      <w:r>
        <w:rPr>
          <w:b/>
        </w:rPr>
        <w:t xml:space="preserve">Sector: </w:t>
      </w:r>
      <w:r>
        <w:t>Logistics</w:t>
        <w:br/>
      </w:r>
      <w:r>
        <w:rPr>
          <w:b/>
        </w:rPr>
        <w:t xml:space="preserve">Size: </w:t>
      </w:r>
      <w:r>
        <w:t>Micro-size (1-9)</w:t>
        <w:br/>
      </w:r>
      <w:r>
        <w:rPr>
          <w:b/>
        </w:rPr>
        <w:t xml:space="preserve">Country: </w:t>
      </w:r>
      <w:r>
        <w:t>Portugal</w:t>
        <w:br/>
      </w:r>
      <w:r>
        <w:rPr>
          <w:b/>
        </w:rPr>
        <w:t xml:space="preserve">Assessment Date: </w:t>
      </w:r>
      <w:r>
        <w:t>2026-02-08</w:t>
        <w:br/>
      </w:r>
    </w:p>
    <w:p/>
    <w:p>
      <w:pPr>
        <w:pStyle w:val="Heading1"/>
      </w:pPr>
      <w:r>
        <w:t>Executive Summary</w:t>
      </w:r>
    </w:p>
    <w:p>
      <w:r>
        <w:t xml:space="preserve">This report presents the digital maturity assessment results for Digital Enterprises. </w:t>
      </w:r>
      <w:r>
        <w:t xml:space="preserve">The organization has achieved significant progress, improving from a baseline maturity score of 18.3 to 74.3, representing a </w:t>
      </w:r>
      <w:r>
        <w:rPr>
          <w:b/>
          <w:color w:val="27AE60"/>
        </w:rPr>
        <w:t>+56.0 point (305.5%) increase</w:t>
      </w:r>
      <w:r>
        <w:t xml:space="preserve">. </w:t>
      </w:r>
      <w:r>
        <w:t xml:space="preserve">This performance classifies the organization as a </w:t>
      </w:r>
      <w:r>
        <w:rPr>
          <w:b/>
          <w:color w:val="34495E"/>
        </w:rPr>
        <w:t>Competent</w:t>
      </w:r>
      <w:r>
        <w:t xml:space="preserve"> in digital maturity.</w:t>
      </w:r>
    </w:p>
    <w:p/>
    <w:p>
      <w:pPr>
        <w:pStyle w:val="Heading1"/>
      </w:pPr>
      <w: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Overall Maturity Score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  <w:tc>
          <w:tcPr>
            <w:tcW w:type="dxa" w:w="2160"/>
          </w:tcPr>
          <w:p>
            <w:r>
              <w:t>74.3</w:t>
            </w:r>
          </w:p>
        </w:tc>
        <w:tc>
          <w:tcPr>
            <w:tcW w:type="dxa" w:w="2160"/>
          </w:tcPr>
          <w:p>
            <w:r>
              <w:t>+56.0</w:t>
            </w:r>
          </w:p>
        </w:tc>
      </w:tr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65.0</w:t>
            </w:r>
          </w:p>
        </w:tc>
        <w:tc>
          <w:tcPr>
            <w:tcW w:type="dxa" w:w="2160"/>
          </w:tcPr>
          <w:p>
            <w:r>
              <w:t>+45.0</w:t>
            </w:r>
          </w:p>
        </w:tc>
      </w:tr>
      <w:tr>
        <w:tc>
          <w:tcPr>
            <w:tcW w:type="dxa" w:w="2160"/>
          </w:tcPr>
          <w:p>
            <w:r>
              <w:t>Readiness</w:t>
            </w:r>
          </w:p>
        </w:tc>
        <w:tc>
          <w:tcPr>
            <w:tcW w:type="dxa" w:w="2160"/>
          </w:tcPr>
          <w:p>
            <w:r>
              <w:t>21.4</w:t>
            </w:r>
          </w:p>
        </w:tc>
        <w:tc>
          <w:tcPr>
            <w:tcW w:type="dxa" w:w="2160"/>
          </w:tcPr>
          <w:p>
            <w:r>
              <w:t>72.1</w:t>
            </w:r>
          </w:p>
        </w:tc>
        <w:tc>
          <w:tcPr>
            <w:tcW w:type="dxa" w:w="2160"/>
          </w:tcPr>
          <w:p>
            <w:r>
              <w:t>+50.7</w:t>
            </w:r>
          </w:p>
        </w:tc>
      </w:tr>
      <w:tr>
        <w:tc>
          <w:tcPr>
            <w:tcW w:type="dxa" w:w="2160"/>
          </w:tcPr>
          <w:p>
            <w:r>
              <w:t>HumanCentric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  <w:tc>
          <w:tcPr>
            <w:tcW w:type="dxa" w:w="2160"/>
          </w:tcPr>
          <w:p>
            <w:r>
              <w:t>73.3</w:t>
            </w:r>
          </w:p>
        </w:tc>
        <w:tc>
          <w:tcPr>
            <w:tcW w:type="dxa" w:w="2160"/>
          </w:tcPr>
          <w:p>
            <w:r>
              <w:t>+40.0</w:t>
            </w:r>
          </w:p>
        </w:tc>
      </w:tr>
      <w:tr>
        <w:tc>
          <w:tcPr>
            <w:tcW w:type="dxa" w:w="2160"/>
          </w:tcPr>
          <w:p>
            <w:r>
              <w:t>DataMgmt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69.5</w:t>
            </w:r>
          </w:p>
        </w:tc>
        <w:tc>
          <w:tcPr>
            <w:tcW w:type="dxa" w:w="2160"/>
          </w:tcPr>
          <w:p>
            <w:r>
              <w:t>+54.3</w:t>
            </w:r>
          </w:p>
        </w:tc>
      </w:tr>
      <w:tr>
        <w:tc>
          <w:tcPr>
            <w:tcW w:type="dxa" w:w="2160"/>
          </w:tcPr>
          <w:p>
            <w:r>
              <w:t>AutomationAI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+88.0</w:t>
            </w:r>
          </w:p>
        </w:tc>
      </w:tr>
      <w:tr>
        <w:tc>
          <w:tcPr>
            <w:tcW w:type="dxa" w:w="2160"/>
          </w:tcPr>
          <w:p>
            <w:r>
              <w:t>GreenDigital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66.0</w:t>
            </w:r>
          </w:p>
        </w:tc>
        <w:tc>
          <w:tcPr>
            <w:tcW w:type="dxa" w:w="2160"/>
          </w:tcPr>
          <w:p>
            <w:r>
              <w:t>+58.0</w:t>
            </w:r>
          </w:p>
        </w:tc>
      </w:tr>
    </w:tbl>
    <w:p/>
    <w:p>
      <w:pPr>
        <w:pStyle w:val="Heading1"/>
      </w:pPr>
      <w:r>
        <w:t>Visual Performance Profile</w:t>
      </w:r>
    </w:p>
    <w:p>
      <w:r>
        <w:t>The radar chart below illustrates your organization's digital maturity across all six assessment dimensions, comparing baseline (Before) and current (After) states.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5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OMP09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51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Dimensional Analysis</w:t>
      </w:r>
    </w:p>
    <w:p>
      <w:r>
        <w:rPr>
          <w:b/>
        </w:rPr>
        <w:t xml:space="preserve">Strengths: </w:t>
      </w:r>
      <w:r>
        <w:t xml:space="preserve">The AutomationAI dimension shows the highest improvement (+88.0 points), indicating strong progress in this area. </w:t>
      </w:r>
    </w:p>
    <w:p/>
    <w:p>
      <w:pPr>
        <w:pStyle w:val="Heading1"/>
      </w:pPr>
      <w:r>
        <w:t>Strategic Recommendations</w:t>
      </w:r>
    </w:p>
    <w:p>
      <w:pPr>
        <w:pStyle w:val="ListNumber"/>
      </w:pPr>
      <w:r>
        <w:t>Build on current capabilities by implementing advanced technologies and data-driven decision making processes.</w:t>
      </w:r>
    </w:p>
    <w:p>
      <w:pPr>
        <w:pStyle w:val="ListNumber"/>
      </w:pPr>
      <w:r>
        <w:t>Conduct quarterly maturity assessments to track progress and adjust strategies accordingly.</w:t>
      </w:r>
    </w:p>
    <w:p/>
    <w:p>
      <w:pPr>
        <w:jc w:val="center"/>
      </w:pPr>
      <w:r>
        <w:rPr>
          <w:color w:val="808080"/>
          <w:sz w:val="18"/>
        </w:rPr>
        <w:t>This report is based on the EU Open Digital Maturity Assessment Tool (DMAT) Framework</w:t>
        <w:br/>
        <w:t>Generated by Digital Transformation Analytics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