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63B33">
      <w:pPr>
        <w:jc w:val="center"/>
        <w:rPr>
          <w:color w:val="000000" w:themeColor="text1"/>
          <w14:textFill>
            <w14:solidFill>
              <w14:schemeClr w14:val="tx1"/>
            </w14:solidFill>
          </w14:textFill>
        </w:rPr>
      </w:pPr>
    </w:p>
    <w:p w14:paraId="1D49EE31">
      <w:pPr>
        <w:rPr>
          <w:rFonts w:ascii="宋体" w:hAnsi="宋体"/>
          <w:color w:val="000000" w:themeColor="text1"/>
          <w:spacing w:val="40"/>
          <w:sz w:val="71"/>
          <w14:textFill>
            <w14:solidFill>
              <w14:schemeClr w14:val="tx1"/>
            </w14:solidFill>
          </w14:textFill>
        </w:rPr>
      </w:pPr>
    </w:p>
    <w:p w14:paraId="38439F66">
      <w:pPr>
        <w:jc w:val="center"/>
        <w:rPr>
          <w:rFonts w:ascii="宋体" w:hAnsi="宋体"/>
          <w:spacing w:val="40"/>
          <w:sz w:val="71"/>
        </w:rPr>
      </w:pPr>
      <w:r>
        <w:rPr>
          <w:rFonts w:hint="eastAsia" w:ascii="宋体" w:hAnsi="宋体"/>
          <w:spacing w:val="40"/>
          <w:sz w:val="71"/>
        </w:rPr>
        <w:t xml:space="preserve"> 北京交通大学</w:t>
      </w:r>
    </w:p>
    <w:p w14:paraId="1546DE7B">
      <w:pPr>
        <w:jc w:val="center"/>
        <w:rPr>
          <w:rFonts w:ascii="宋体" w:hAnsi="宋体"/>
          <w:color w:val="FF0000"/>
          <w:spacing w:val="40"/>
          <w:sz w:val="30"/>
          <w:szCs w:val="30"/>
        </w:rPr>
      </w:pPr>
    </w:p>
    <w:p w14:paraId="5AD1C0AA">
      <w:pPr>
        <w:jc w:val="center"/>
        <w:rPr>
          <w:rFonts w:hint="eastAsia" w:ascii="黑体" w:hAnsi="黑体" w:eastAsia="黑体"/>
          <w:b/>
          <w:color w:val="000000" w:themeColor="text1"/>
          <w:spacing w:val="282"/>
          <w:sz w:val="93"/>
          <w14:textFill>
            <w14:solidFill>
              <w14:schemeClr w14:val="tx1"/>
            </w14:solidFill>
          </w14:textFill>
        </w:rPr>
      </w:pPr>
      <w:r>
        <w:rPr>
          <w:rFonts w:hint="eastAsia" w:ascii="黑体" w:hAnsi="黑体" w:eastAsia="黑体"/>
          <w:b/>
          <w:color w:val="000000" w:themeColor="text1"/>
          <w:spacing w:val="282"/>
          <w:sz w:val="93"/>
          <w14:textFill>
            <w14:solidFill>
              <w14:schemeClr w14:val="tx1"/>
            </w14:solidFill>
          </w14:textFill>
        </w:rPr>
        <w:t xml:space="preserve"> 实验报告</w:t>
      </w:r>
    </w:p>
    <w:p w14:paraId="3BD92B80">
      <w:pPr>
        <w:jc w:val="center"/>
        <w:rPr>
          <w:rFonts w:hint="eastAsia" w:ascii="黑体" w:hAnsi="黑体" w:eastAsia="黑体"/>
          <w:b/>
          <w:color w:val="000000" w:themeColor="text1"/>
          <w:spacing w:val="282"/>
          <w:sz w:val="93"/>
          <w14:textFill>
            <w14:solidFill>
              <w14:schemeClr w14:val="tx1"/>
            </w14:solidFill>
          </w14:textFill>
        </w:rPr>
      </w:pPr>
    </w:p>
    <w:p w14:paraId="15669D00">
      <w:pPr>
        <w:rPr>
          <w:rFonts w:hint="eastAsia" w:ascii="黑体" w:hAnsi="黑体" w:eastAsia="黑体"/>
          <w:b/>
          <w:color w:val="000000" w:themeColor="text1"/>
          <w:spacing w:val="282"/>
          <w:sz w:val="93"/>
          <w14:textFill>
            <w14:solidFill>
              <w14:schemeClr w14:val="tx1"/>
            </w14:solidFill>
          </w14:textFill>
        </w:rPr>
      </w:pPr>
    </w:p>
    <w:tbl>
      <w:tblPr>
        <w:tblStyle w:val="4"/>
        <w:tblW w:w="6380" w:type="dxa"/>
        <w:jc w:val="center"/>
        <w:tblLayout w:type="fixed"/>
        <w:tblCellMar>
          <w:top w:w="0" w:type="dxa"/>
          <w:left w:w="108" w:type="dxa"/>
          <w:bottom w:w="0" w:type="dxa"/>
          <w:right w:w="108" w:type="dxa"/>
        </w:tblCellMar>
      </w:tblPr>
      <w:tblGrid>
        <w:gridCol w:w="1946"/>
        <w:gridCol w:w="4434"/>
      </w:tblGrid>
      <w:tr w14:paraId="2D7C3C52">
        <w:tblPrEx>
          <w:tblCellMar>
            <w:top w:w="0" w:type="dxa"/>
            <w:left w:w="108" w:type="dxa"/>
            <w:bottom w:w="0" w:type="dxa"/>
            <w:right w:w="108" w:type="dxa"/>
          </w:tblCellMar>
        </w:tblPrEx>
        <w:trPr>
          <w:jc w:val="center"/>
        </w:trPr>
        <w:tc>
          <w:tcPr>
            <w:tcW w:w="1946" w:type="dxa"/>
          </w:tcPr>
          <w:p w14:paraId="1CA1D820">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专   业：</w:t>
            </w:r>
          </w:p>
        </w:tc>
        <w:tc>
          <w:tcPr>
            <w:tcW w:w="4434" w:type="dxa"/>
            <w:tcBorders>
              <w:bottom w:val="single" w:color="auto" w:sz="4" w:space="0"/>
            </w:tcBorders>
          </w:tcPr>
          <w:p w14:paraId="07ED1646">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软件工程</w:t>
            </w:r>
          </w:p>
        </w:tc>
      </w:tr>
      <w:tr w14:paraId="15D37A6E">
        <w:tblPrEx>
          <w:tblCellMar>
            <w:top w:w="0" w:type="dxa"/>
            <w:left w:w="108" w:type="dxa"/>
            <w:bottom w:w="0" w:type="dxa"/>
            <w:right w:w="108" w:type="dxa"/>
          </w:tblCellMar>
        </w:tblPrEx>
        <w:trPr>
          <w:jc w:val="center"/>
        </w:trPr>
        <w:tc>
          <w:tcPr>
            <w:tcW w:w="1946" w:type="dxa"/>
          </w:tcPr>
          <w:p w14:paraId="1222D4CF">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课程名称：</w:t>
            </w:r>
          </w:p>
        </w:tc>
        <w:tc>
          <w:tcPr>
            <w:tcW w:w="4434" w:type="dxa"/>
            <w:tcBorders>
              <w:top w:val="single" w:color="auto" w:sz="4" w:space="0"/>
              <w:bottom w:val="single" w:color="auto" w:sz="4" w:space="0"/>
            </w:tcBorders>
          </w:tcPr>
          <w:p w14:paraId="5D4AB375">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人工智能编程实践</w:t>
            </w:r>
          </w:p>
        </w:tc>
      </w:tr>
      <w:tr w14:paraId="511A78A0">
        <w:tblPrEx>
          <w:tblCellMar>
            <w:top w:w="0" w:type="dxa"/>
            <w:left w:w="108" w:type="dxa"/>
            <w:bottom w:w="0" w:type="dxa"/>
            <w:right w:w="108" w:type="dxa"/>
          </w:tblCellMar>
        </w:tblPrEx>
        <w:trPr>
          <w:jc w:val="center"/>
        </w:trPr>
        <w:tc>
          <w:tcPr>
            <w:tcW w:w="1946" w:type="dxa"/>
          </w:tcPr>
          <w:p w14:paraId="6D0C8927">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班   级：</w:t>
            </w:r>
          </w:p>
        </w:tc>
        <w:tc>
          <w:tcPr>
            <w:tcW w:w="4434" w:type="dxa"/>
            <w:tcBorders>
              <w:top w:val="single" w:color="auto" w:sz="4" w:space="0"/>
              <w:bottom w:val="single" w:color="auto" w:sz="4" w:space="0"/>
            </w:tcBorders>
          </w:tcPr>
          <w:p w14:paraId="14F68A0B">
            <w:pPr>
              <w:jc w:val="center"/>
              <w:rPr>
                <w:rFonts w:hint="default" w:ascii="宋体" w:hAnsi="宋体" w:eastAsia="仿宋"/>
                <w:color w:val="000000" w:themeColor="text1"/>
                <w:sz w:val="31"/>
                <w:lang w:val="en-US" w:eastAsia="zh-CN"/>
                <w14:textFill>
                  <w14:solidFill>
                    <w14:schemeClr w14:val="tx1"/>
                  </w14:solidFill>
                </w14:textFill>
              </w:rPr>
            </w:pPr>
            <w:r>
              <w:rPr>
                <w:rFonts w:hint="eastAsia" w:ascii="宋体" w:hAnsi="宋体"/>
                <w:color w:val="000000" w:themeColor="text1"/>
                <w:sz w:val="31"/>
                <w:lang w:val="en-US" w:eastAsia="zh-CN"/>
                <w14:textFill>
                  <w14:solidFill>
                    <w14:schemeClr w14:val="tx1"/>
                  </w14:solidFill>
                </w14:textFill>
              </w:rPr>
              <w:t>2503</w:t>
            </w:r>
          </w:p>
        </w:tc>
      </w:tr>
      <w:tr w14:paraId="0F8F4556">
        <w:tblPrEx>
          <w:tblCellMar>
            <w:top w:w="0" w:type="dxa"/>
            <w:left w:w="108" w:type="dxa"/>
            <w:bottom w:w="0" w:type="dxa"/>
            <w:right w:w="108" w:type="dxa"/>
          </w:tblCellMar>
        </w:tblPrEx>
        <w:trPr>
          <w:jc w:val="center"/>
        </w:trPr>
        <w:tc>
          <w:tcPr>
            <w:tcW w:w="1946" w:type="dxa"/>
          </w:tcPr>
          <w:p w14:paraId="7F92678A">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学   号：</w:t>
            </w:r>
          </w:p>
        </w:tc>
        <w:tc>
          <w:tcPr>
            <w:tcW w:w="4434" w:type="dxa"/>
            <w:tcBorders>
              <w:top w:val="single" w:color="auto" w:sz="4" w:space="0"/>
              <w:bottom w:val="single" w:color="auto" w:sz="4" w:space="0"/>
            </w:tcBorders>
          </w:tcPr>
          <w:p w14:paraId="2E9B1C09">
            <w:pPr>
              <w:jc w:val="center"/>
              <w:rPr>
                <w:rFonts w:hint="default" w:ascii="宋体" w:hAnsi="宋体" w:eastAsia="仿宋"/>
                <w:color w:val="000000" w:themeColor="text1"/>
                <w:sz w:val="31"/>
                <w:lang w:val="en-US" w:eastAsia="zh-CN"/>
                <w14:textFill>
                  <w14:solidFill>
                    <w14:schemeClr w14:val="tx1"/>
                  </w14:solidFill>
                </w14:textFill>
              </w:rPr>
            </w:pPr>
            <w:r>
              <w:rPr>
                <w:rFonts w:hint="eastAsia" w:ascii="宋体" w:hAnsi="宋体"/>
                <w:color w:val="000000" w:themeColor="text1"/>
                <w:sz w:val="31"/>
                <w:lang w:val="en-US" w:eastAsia="zh-CN"/>
                <w14:textFill>
                  <w14:solidFill>
                    <w14:schemeClr w14:val="tx1"/>
                  </w14:solidFill>
                </w14:textFill>
              </w:rPr>
              <w:t>25531435</w:t>
            </w:r>
          </w:p>
        </w:tc>
      </w:tr>
      <w:tr w14:paraId="6BD03165">
        <w:tblPrEx>
          <w:tblCellMar>
            <w:top w:w="0" w:type="dxa"/>
            <w:left w:w="108" w:type="dxa"/>
            <w:bottom w:w="0" w:type="dxa"/>
            <w:right w:w="108" w:type="dxa"/>
          </w:tblCellMar>
        </w:tblPrEx>
        <w:trPr>
          <w:jc w:val="center"/>
        </w:trPr>
        <w:tc>
          <w:tcPr>
            <w:tcW w:w="1946" w:type="dxa"/>
          </w:tcPr>
          <w:p w14:paraId="0663B356">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姓   名：</w:t>
            </w:r>
          </w:p>
        </w:tc>
        <w:tc>
          <w:tcPr>
            <w:tcW w:w="4434" w:type="dxa"/>
            <w:tcBorders>
              <w:top w:val="single" w:color="auto" w:sz="4" w:space="0"/>
              <w:bottom w:val="single" w:color="auto" w:sz="4" w:space="0"/>
            </w:tcBorders>
          </w:tcPr>
          <w:p w14:paraId="39E39B79">
            <w:pPr>
              <w:jc w:val="center"/>
              <w:rPr>
                <w:rFonts w:hint="eastAsia" w:ascii="宋体" w:hAnsi="宋体" w:eastAsia="仿宋"/>
                <w:color w:val="000000" w:themeColor="text1"/>
                <w:sz w:val="31"/>
                <w:lang w:val="en-US" w:eastAsia="zh-CN"/>
                <w14:textFill>
                  <w14:solidFill>
                    <w14:schemeClr w14:val="tx1"/>
                  </w14:solidFill>
                </w14:textFill>
              </w:rPr>
            </w:pPr>
            <w:r>
              <w:rPr>
                <w:rFonts w:hint="eastAsia" w:ascii="宋体" w:hAnsi="宋体"/>
                <w:color w:val="000000" w:themeColor="text1"/>
                <w:sz w:val="31"/>
                <w:lang w:val="en-US" w:eastAsia="zh-CN"/>
                <w14:textFill>
                  <w14:solidFill>
                    <w14:schemeClr w14:val="tx1"/>
                  </w14:solidFill>
                </w14:textFill>
              </w:rPr>
              <w:t>陈锐泽</w:t>
            </w:r>
          </w:p>
        </w:tc>
      </w:tr>
      <w:tr w14:paraId="03C6BCB9">
        <w:tblPrEx>
          <w:tblCellMar>
            <w:top w:w="0" w:type="dxa"/>
            <w:left w:w="108" w:type="dxa"/>
            <w:bottom w:w="0" w:type="dxa"/>
            <w:right w:w="108" w:type="dxa"/>
          </w:tblCellMar>
        </w:tblPrEx>
        <w:trPr>
          <w:jc w:val="center"/>
        </w:trPr>
        <w:tc>
          <w:tcPr>
            <w:tcW w:w="1946" w:type="dxa"/>
          </w:tcPr>
          <w:p w14:paraId="2D03D1A0">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辅导教师：</w:t>
            </w:r>
          </w:p>
        </w:tc>
        <w:tc>
          <w:tcPr>
            <w:tcW w:w="4434" w:type="dxa"/>
            <w:tcBorders>
              <w:top w:val="single" w:color="auto" w:sz="4" w:space="0"/>
              <w:bottom w:val="single" w:color="auto" w:sz="4" w:space="0"/>
            </w:tcBorders>
          </w:tcPr>
          <w:p w14:paraId="068DAA31">
            <w:pPr>
              <w:jc w:val="center"/>
              <w:rPr>
                <w:rFonts w:ascii="宋体" w:hAnsi="宋体"/>
                <w:color w:val="000000" w:themeColor="text1"/>
                <w:sz w:val="31"/>
                <w14:textFill>
                  <w14:solidFill>
                    <w14:schemeClr w14:val="tx1"/>
                  </w14:solidFill>
                </w14:textFill>
              </w:rPr>
            </w:pPr>
            <w:r>
              <w:rPr>
                <w:rFonts w:hint="eastAsia" w:eastAsia="宋体"/>
                <w:color w:val="000000" w:themeColor="text1"/>
                <w:sz w:val="24"/>
                <w14:textFill>
                  <w14:solidFill>
                    <w14:schemeClr w14:val="tx1"/>
                  </w14:solidFill>
                </w14:textFill>
              </w:rPr>
              <w:t>付梓焱</w:t>
            </w:r>
          </w:p>
        </w:tc>
      </w:tr>
    </w:tbl>
    <w:p w14:paraId="7A42AB0B">
      <w:pPr>
        <w:jc w:val="left"/>
        <w:rPr>
          <w:color w:val="000000" w:themeColor="text1"/>
          <w14:textFill>
            <w14:solidFill>
              <w14:schemeClr w14:val="tx1"/>
            </w14:solidFill>
          </w14:textFill>
        </w:rPr>
      </w:pPr>
    </w:p>
    <w:p w14:paraId="6AA8BAC8">
      <w:pPr>
        <w:jc w:val="left"/>
        <w:rPr>
          <w:color w:val="000000" w:themeColor="text1"/>
          <w14:textFill>
            <w14:solidFill>
              <w14:schemeClr w14:val="tx1"/>
            </w14:solidFill>
          </w14:textFill>
        </w:rPr>
      </w:pPr>
    </w:p>
    <w:p w14:paraId="6612792C">
      <w:pPr>
        <w:jc w:val="center"/>
        <w:rPr>
          <w:color w:val="000000" w:themeColor="text1"/>
          <w14:textFill>
            <w14:solidFill>
              <w14:schemeClr w14:val="tx1"/>
            </w14:solidFill>
          </w14:textFill>
        </w:rPr>
      </w:pPr>
    </w:p>
    <w:p w14:paraId="6DBF8A1D">
      <w:pPr>
        <w:jc w:val="center"/>
        <w:rPr>
          <w:color w:val="000000" w:themeColor="text1"/>
          <w:spacing w:val="30"/>
          <w:sz w:val="31"/>
          <w14:textFill>
            <w14:solidFill>
              <w14:schemeClr w14:val="tx1"/>
            </w14:solidFill>
          </w14:textFill>
        </w:rPr>
      </w:pPr>
    </w:p>
    <w:p w14:paraId="68226169">
      <w:pPr>
        <w:jc w:val="center"/>
        <w:rPr>
          <w:color w:val="000000" w:themeColor="text1"/>
          <w:spacing w:val="30"/>
          <w:sz w:val="31"/>
          <w14:textFill>
            <w14:solidFill>
              <w14:schemeClr w14:val="tx1"/>
            </w14:solidFill>
          </w14:textFill>
        </w:rPr>
      </w:pPr>
    </w:p>
    <w:p w14:paraId="09FFE21F">
      <w:pPr>
        <w:jc w:val="center"/>
        <w:rPr>
          <w:color w:val="000000" w:themeColor="text1"/>
          <w:spacing w:val="30"/>
          <w:sz w:val="31"/>
          <w14:textFill>
            <w14:solidFill>
              <w14:schemeClr w14:val="tx1"/>
            </w14:solidFill>
          </w14:textFill>
        </w:rPr>
      </w:pPr>
    </w:p>
    <w:p w14:paraId="38928518">
      <w:pPr>
        <w:jc w:val="center"/>
        <w:rPr>
          <w:color w:val="000000" w:themeColor="text1"/>
          <w:spacing w:val="30"/>
          <w:sz w:val="25"/>
          <w14:textFill>
            <w14:solidFill>
              <w14:schemeClr w14:val="tx1"/>
            </w14:solidFill>
          </w14:textFill>
        </w:rPr>
      </w:pPr>
      <w:r>
        <w:rPr>
          <w:rFonts w:hint="eastAsia"/>
          <w:color w:val="000000" w:themeColor="text1"/>
          <w:spacing w:val="30"/>
          <w:sz w:val="25"/>
          <w14:textFill>
            <w14:solidFill>
              <w14:schemeClr w14:val="tx1"/>
            </w14:solidFill>
          </w14:textFill>
        </w:rPr>
        <w:t xml:space="preserve">            </w:t>
      </w:r>
    </w:p>
    <w:p w14:paraId="55ED2183">
      <w:pPr>
        <w:jc w:val="center"/>
        <w:rPr>
          <w:rFonts w:hint="eastAsia"/>
          <w:color w:val="000000" w:themeColor="text1"/>
          <w:spacing w:val="30"/>
          <w:sz w:val="25"/>
          <w14:textFill>
            <w14:solidFill>
              <w14:schemeClr w14:val="tx1"/>
            </w14:solidFill>
          </w14:textFill>
        </w:rPr>
      </w:pPr>
      <w:r>
        <w:rPr>
          <w:rFonts w:hint="eastAsia"/>
          <w:color w:val="000000" w:themeColor="text1"/>
          <w:spacing w:val="30"/>
          <w:sz w:val="25"/>
          <w14:textFill>
            <w14:solidFill>
              <w14:schemeClr w14:val="tx1"/>
            </w14:solidFill>
          </w14:textFill>
        </w:rPr>
        <w:t xml:space="preserve">                      成绩：</w:t>
      </w:r>
      <w:r>
        <w:rPr>
          <w:rFonts w:hint="eastAsia"/>
          <w:color w:val="000000" w:themeColor="text1"/>
          <w:spacing w:val="30"/>
          <w:sz w:val="25"/>
          <w:u w:val="single"/>
          <w14:textFill>
            <w14:solidFill>
              <w14:schemeClr w14:val="tx1"/>
            </w14:solidFill>
          </w14:textFill>
        </w:rPr>
        <w:t xml:space="preserve"> </w:t>
      </w:r>
      <w:r>
        <w:rPr>
          <w:color w:val="000000" w:themeColor="text1"/>
          <w:spacing w:val="30"/>
          <w:sz w:val="25"/>
          <w:u w:val="single"/>
          <w14:textFill>
            <w14:solidFill>
              <w14:schemeClr w14:val="tx1"/>
            </w14:solidFill>
          </w14:textFill>
        </w:rPr>
        <w:t xml:space="preserve">        </w:t>
      </w:r>
      <w:r>
        <w:rPr>
          <w:rFonts w:hint="eastAsia"/>
          <w:color w:val="000000" w:themeColor="text1"/>
          <w:spacing w:val="30"/>
          <w:sz w:val="25"/>
          <w:u w:val="single"/>
          <w14:textFill>
            <w14:solidFill>
              <w14:schemeClr w14:val="tx1"/>
            </w14:solidFill>
          </w14:textFill>
        </w:rPr>
        <w:t xml:space="preserve">  </w:t>
      </w:r>
      <w:r>
        <w:rPr>
          <w:rFonts w:hint="eastAsia"/>
          <w:color w:val="000000" w:themeColor="text1"/>
          <w:spacing w:val="30"/>
          <w:sz w:val="25"/>
          <w14:textFill>
            <w14:solidFill>
              <w14:schemeClr w14:val="tx1"/>
            </w14:solidFill>
          </w14:textFill>
        </w:rPr>
        <w:t xml:space="preserve"> </w:t>
      </w:r>
    </w:p>
    <w:p w14:paraId="6808CEA5">
      <w:pPr>
        <w:jc w:val="center"/>
        <w:rPr>
          <w:color w:val="000000" w:themeColor="text1"/>
          <w:spacing w:val="30"/>
          <w:sz w:val="25"/>
          <w14:textFill>
            <w14:solidFill>
              <w14:schemeClr w14:val="tx1"/>
            </w14:solidFill>
          </w14:textFill>
        </w:rPr>
      </w:pPr>
      <w:r>
        <w:rPr>
          <w:rFonts w:hint="eastAsia"/>
          <w:color w:val="000000" w:themeColor="text1"/>
          <w:spacing w:val="30"/>
          <w:sz w:val="25"/>
          <w14:textFill>
            <w14:solidFill>
              <w14:schemeClr w14:val="tx1"/>
            </w14:solidFill>
          </w14:textFill>
        </w:rPr>
        <w:t xml:space="preserve">    </w:t>
      </w:r>
    </w:p>
    <w:tbl>
      <w:tblPr>
        <w:tblStyle w:val="4"/>
        <w:tblW w:w="85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6997"/>
      </w:tblGrid>
      <w:tr w14:paraId="021C2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8" w:hRule="atLeast"/>
        </w:trPr>
        <w:tc>
          <w:tcPr>
            <w:tcW w:w="1555" w:type="dxa"/>
            <w:vAlign w:val="center"/>
          </w:tcPr>
          <w:p w14:paraId="34EC837B">
            <w:pPr>
              <w:jc w:val="cente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实验时间</w:t>
            </w:r>
          </w:p>
        </w:tc>
        <w:tc>
          <w:tcPr>
            <w:tcW w:w="6997" w:type="dxa"/>
            <w:vAlign w:val="center"/>
          </w:tcPr>
          <w:p w14:paraId="707CE2F7">
            <w:pPr>
              <w:jc w:val="center"/>
            </w:pPr>
            <w:r>
              <w:t>2026年7月6日</w:t>
            </w:r>
          </w:p>
        </w:tc>
      </w:tr>
      <w:tr w14:paraId="2E036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9" w:hRule="atLeast"/>
        </w:trPr>
        <w:tc>
          <w:tcPr>
            <w:tcW w:w="8552" w:type="dxa"/>
            <w:gridSpan w:val="2"/>
          </w:tcPr>
          <w:p w14:paraId="0C87020F"/>
          <w:p w14:paraId="3266B28C">
            <w:pPr>
              <w:spacing w:after="100" w:line="276" w:lineRule="auto"/>
            </w:pPr>
            <w:r>
              <w:rPr>
                <w:rFonts w:eastAsia="黑体"/>
                <w:b/>
                <w:sz w:val="26"/>
              </w:rPr>
              <w:t>1.实验名称</w:t>
            </w:r>
          </w:p>
          <w:p w14:paraId="28DC7F11">
            <w:pPr>
              <w:spacing w:after="60" w:line="300" w:lineRule="auto"/>
              <w:ind w:firstLine="440" w:firstLineChars="200"/>
            </w:pPr>
            <w:r>
              <w:rPr>
                <w:rFonts w:hint="eastAsia"/>
              </w:rPr>
              <w:t>AI编程（Python）—五子棋人机对弈</w:t>
            </w:r>
          </w:p>
        </w:tc>
      </w:tr>
      <w:tr w14:paraId="4F48A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82" w:hRule="atLeast"/>
        </w:trPr>
        <w:tc>
          <w:tcPr>
            <w:tcW w:w="8552" w:type="dxa"/>
            <w:gridSpan w:val="2"/>
          </w:tcPr>
          <w:p w14:paraId="54A2CE9E"/>
          <w:p w14:paraId="04DD6153">
            <w:pPr>
              <w:spacing w:after="100" w:line="276" w:lineRule="auto"/>
            </w:pPr>
            <w:r>
              <w:rPr>
                <w:rFonts w:eastAsia="黑体"/>
                <w:b/>
                <w:sz w:val="26"/>
              </w:rPr>
              <w:t>2.实验目的</w:t>
            </w:r>
          </w:p>
          <w:p w14:paraId="3BEB67BF">
            <w:pPr>
              <w:spacing w:after="60" w:line="300" w:lineRule="auto"/>
              <w:ind w:firstLine="440"/>
            </w:pPr>
            <w:r>
              <w:t>本实验面向轻量化休闲小游戏快速开发场景，借助 CodeBuddy AI 编程工具，以 Vibe Coding 的方式通过自然语言描述需求并驱动程序生成、调试与优化，完成一款可直接运行的五子棋游戏。</w:t>
            </w:r>
          </w:p>
          <w:p w14:paraId="50F7E5E0">
            <w:pPr>
              <w:spacing w:after="60" w:line="300" w:lineRule="auto"/>
              <w:ind w:firstLine="440"/>
            </w:pPr>
            <w:r>
              <w:t>通过本实验，需要掌握提示词工程在软件原型开发中的基本用法，理解如何将“棋盘绘制、鼠标落子、胜负判定、模式切换、按钮响应、人机对战、悔棋与重置”等需求拆分为可实现的程序模块，并能够对 AI 生成代码进行阅读、运行测试和人工修正。</w:t>
            </w:r>
          </w:p>
          <w:p w14:paraId="513A93E5">
            <w:pPr>
              <w:spacing w:after="60" w:line="300" w:lineRule="auto"/>
              <w:ind w:firstLine="440"/>
            </w:pPr>
            <w:r>
              <w:t>实验同时训练 Python 程序设计与 Pygame 图形界面开发能力，重点体会 AI 编程工具在缩短原型开发周期、提高代码生成效率方面的作用，并认识到在游戏规则正确性、交互细节、异常处理和用户体验方面仍需要开发者进行验证与把关。</w:t>
            </w:r>
          </w:p>
        </w:tc>
      </w:tr>
      <w:tr w14:paraId="7A6BA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52" w:type="dxa"/>
            <w:gridSpan w:val="2"/>
          </w:tcPr>
          <w:p w14:paraId="31AEE532"/>
          <w:p w14:paraId="1D9B7A2B">
            <w:pPr>
              <w:spacing w:after="100" w:line="276" w:lineRule="auto"/>
            </w:pPr>
            <w:r>
              <w:rPr>
                <w:rFonts w:eastAsia="黑体"/>
                <w:b/>
                <w:sz w:val="26"/>
              </w:rPr>
              <w:t>3.实验过程及结果</w:t>
            </w:r>
          </w:p>
          <w:p w14:paraId="70AA96A4">
            <w:pPr>
              <w:spacing w:after="100" w:line="276" w:lineRule="auto"/>
            </w:pPr>
            <w:r>
              <w:rPr>
                <w:rFonts w:eastAsia="黑体"/>
                <w:b/>
              </w:rPr>
              <w:t>3.1 任务分析与提示词设计</w:t>
            </w:r>
          </w:p>
          <w:p w14:paraId="5B61F54E">
            <w:pPr>
              <w:spacing w:after="60" w:line="300" w:lineRule="auto"/>
              <w:ind w:firstLine="440"/>
            </w:pPr>
            <w:r>
              <w:t>根据案例要求，本次开发对象是一款五子棋休闲小游戏，目标是在 Windows 环境下使用 CodeBuddy 完成 Python 程序开发。需求被拆分为界面层、游戏逻辑层、AI 对战层和操作控制层四个部分：界面层负责绘制棋盘、棋子、标题和右侧控制面板；游戏逻辑层负责落子、轮换回合和五子连珠判断；AI 对战层负责在玩家落子后由电脑自动选择落点；操作控制层负责模式选择、悔棋、重置和退出等交互。</w:t>
            </w:r>
          </w:p>
          <w:p w14:paraId="580CA88C">
            <w:pPr>
              <w:spacing w:after="60" w:line="300" w:lineRule="auto"/>
              <w:ind w:firstLine="440"/>
            </w:pPr>
            <w:r>
              <w:t>在 Vibe Coding 过程中，提示词不再只要求“写一个五子棋”，而是尽量明确输出程序的功能边界与界面效果。例如要求使用 Pygame 实现 15×15 棋盘，提供“双人对战”和“人机对战”两种模式，支持鼠标点击落子、胜负提示、悔棋、再来一局和退出游戏，同时要求界面具有较好的视觉效果。这样做可以降低 AI 生成代码与任务目标之间的偏差。</w:t>
            </w:r>
          </w:p>
          <w:p w14:paraId="78AADC52">
            <w:pPr>
              <w:spacing w:after="100" w:line="276" w:lineRule="auto"/>
            </w:pPr>
            <w:r>
              <w:rPr>
                <w:rFonts w:eastAsia="黑体"/>
                <w:b/>
              </w:rPr>
              <w:t>3.2 使用 CodeBuddy 生成并整理程序代码</w:t>
            </w:r>
          </w:p>
          <w:p w14:paraId="4DD33158">
            <w:pPr>
              <w:spacing w:after="60" w:line="300" w:lineRule="auto"/>
              <w:ind w:firstLine="440"/>
            </w:pPr>
            <w:r>
              <w:t>在 CodeBuddy 编程环境中生成并打开 gobang.py 文件后，对程序结构进行了检查。代码中使用常量定义窗口大小、棋盘尺寸、颜色和按钮布局，使用 draw_board、draw_piece、draw_right_panel 等函数完成界面绘制，使用 check_win 函数判断横向、纵向和两条斜线方向是否达到五子连珠，使用 ai_move 与 evaluate_line 函数实现电脑落子的基础评分逻辑。</w:t>
            </w:r>
          </w:p>
          <w:p w14:paraId="3A18EB0A">
            <w:pPr>
              <w:spacing w:after="60" w:line="300" w:lineRule="auto"/>
              <w:ind w:firstLine="440"/>
            </w:pPr>
            <w:r>
              <w:t>程序主函数 main() 负责初始化 Pygame、显示模式选择界面、维护棋盘数组、记录当前玩家、处理鼠标与键盘事件，并在循环中完成 AI 自动落子、消息刷新和界面重绘。经过整理后，代码整体形成了“界面绘制—事件处理—游戏状态更新—结果渲染”的循环结构。</w:t>
            </w:r>
          </w:p>
          <w:p w14:paraId="68FDB1F3">
            <w:pPr>
              <w:spacing w:before="80" w:after="40"/>
              <w:jc w:val="center"/>
              <w:rPr>
                <w:rFonts w:hint="eastAsia" w:eastAsia="仿宋"/>
                <w:lang w:eastAsia="zh-CN"/>
              </w:rPr>
            </w:pPr>
            <w:r>
              <w:rPr>
                <w:rFonts w:hint="eastAsia" w:eastAsia="仿宋"/>
                <w:lang w:eastAsia="zh-CN"/>
              </w:rPr>
              <w:drawing>
                <wp:inline distT="0" distB="0" distL="114300" distR="114300">
                  <wp:extent cx="5289550" cy="3108960"/>
                  <wp:effectExtent l="0" t="0" r="6350" b="2540"/>
                  <wp:docPr id="4" name="图片 4" descr="屏幕截图 2026-07-06 22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7-06 222019"/>
                          <pic:cNvPicPr>
                            <a:picLocks noChangeAspect="1"/>
                          </pic:cNvPicPr>
                        </pic:nvPicPr>
                        <pic:blipFill>
                          <a:blip r:embed="rId4"/>
                          <a:stretch>
                            <a:fillRect/>
                          </a:stretch>
                        </pic:blipFill>
                        <pic:spPr>
                          <a:xfrm>
                            <a:off x="0" y="0"/>
                            <a:ext cx="5289550" cy="3108960"/>
                          </a:xfrm>
                          <a:prstGeom prst="rect">
                            <a:avLst/>
                          </a:prstGeom>
                        </pic:spPr>
                      </pic:pic>
                    </a:graphicData>
                  </a:graphic>
                </wp:inline>
              </w:drawing>
            </w:r>
          </w:p>
          <w:p w14:paraId="67A0B6E1">
            <w:pPr>
              <w:spacing w:after="120"/>
              <w:jc w:val="center"/>
            </w:pPr>
            <w:r>
              <w:rPr>
                <w:rFonts w:eastAsia="宋体"/>
                <w:sz w:val="20"/>
              </w:rPr>
              <w:t>图1  在 CodeBuddy 环境中</w:t>
            </w:r>
            <w:r>
              <w:rPr>
                <w:rFonts w:hint="eastAsia" w:eastAsia="宋体"/>
                <w:sz w:val="20"/>
              </w:rPr>
              <w:t>交互</w:t>
            </w:r>
            <w:r>
              <w:rPr>
                <w:rFonts w:eastAsia="宋体"/>
                <w:sz w:val="20"/>
              </w:rPr>
              <w:t>生成并查看 gobang.py 程序代码</w:t>
            </w:r>
          </w:p>
          <w:p w14:paraId="1B94BC65">
            <w:pPr>
              <w:spacing w:after="100" w:line="276" w:lineRule="auto"/>
            </w:pPr>
            <w:r>
              <w:rPr>
                <w:rFonts w:eastAsia="黑体"/>
                <w:b/>
              </w:rPr>
              <w:t>3.3 程序运行与模式选择测试</w:t>
            </w:r>
          </w:p>
          <w:p w14:paraId="340C1C53">
            <w:pPr>
              <w:spacing w:after="60" w:line="300" w:lineRule="auto"/>
              <w:ind w:firstLine="440"/>
            </w:pPr>
            <w:r>
              <w:t>运行程序后，首先进入模式选择界面。界面提供“双人对战”和“人机对战”两个入口，用户可以点击卡片或按键盘数字 1、2 选择模式。该界面说明程序并不是单一棋盘演示，而是已经具备基础游戏流程入口。</w:t>
            </w:r>
          </w:p>
          <w:p w14:paraId="4FA76761">
            <w:pPr>
              <w:spacing w:after="60" w:line="300" w:lineRule="auto"/>
              <w:ind w:firstLine="440"/>
            </w:pPr>
            <w:r>
              <w:t>从运行结果看，模式选择界面居中显示标题和两个模式卡片，文字、图标和交互提示较清晰，符合小游戏原型对“轻量化、易上手”的基本要求。</w:t>
            </w:r>
          </w:p>
          <w:p w14:paraId="0DBEF23F">
            <w:pPr>
              <w:spacing w:after="60" w:line="300" w:lineRule="auto"/>
              <w:ind w:firstLine="440"/>
            </w:pPr>
            <w:r>
              <w:drawing>
                <wp:anchor distT="0" distB="0" distL="114300" distR="114300" simplePos="0" relativeHeight="251659264" behindDoc="0" locked="0" layoutInCell="1" allowOverlap="1">
                  <wp:simplePos x="0" y="0"/>
                  <wp:positionH relativeFrom="column">
                    <wp:posOffset>60960</wp:posOffset>
                  </wp:positionH>
                  <wp:positionV relativeFrom="paragraph">
                    <wp:posOffset>56515</wp:posOffset>
                  </wp:positionV>
                  <wp:extent cx="5160010" cy="2444750"/>
                  <wp:effectExtent l="0" t="0" r="2540" b="0"/>
                  <wp:wrapNone/>
                  <wp:docPr id="103439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0665" name="图片 1"/>
                          <pic:cNvPicPr>
                            <a:picLocks noChangeAspect="1"/>
                          </pic:cNvPicPr>
                        </pic:nvPicPr>
                        <pic:blipFill>
                          <a:blip r:embed="rId5"/>
                          <a:stretch>
                            <a:fillRect/>
                          </a:stretch>
                        </pic:blipFill>
                        <pic:spPr>
                          <a:xfrm>
                            <a:off x="0" y="0"/>
                            <a:ext cx="5160010" cy="2444750"/>
                          </a:xfrm>
                          <a:prstGeom prst="rect">
                            <a:avLst/>
                          </a:prstGeom>
                        </pic:spPr>
                      </pic:pic>
                    </a:graphicData>
                  </a:graphic>
                </wp:anchor>
              </w:drawing>
            </w:r>
          </w:p>
          <w:p w14:paraId="0BE6050A">
            <w:pPr>
              <w:spacing w:after="60" w:line="300" w:lineRule="auto"/>
              <w:ind w:firstLine="440"/>
            </w:pPr>
          </w:p>
          <w:p w14:paraId="70A325FE">
            <w:pPr>
              <w:spacing w:after="60" w:line="300" w:lineRule="auto"/>
              <w:ind w:firstLine="440"/>
            </w:pPr>
          </w:p>
          <w:p w14:paraId="0F666C35">
            <w:pPr>
              <w:spacing w:after="60" w:line="300" w:lineRule="auto"/>
              <w:ind w:firstLine="440"/>
            </w:pPr>
          </w:p>
          <w:p w14:paraId="4BFECDE8">
            <w:pPr>
              <w:spacing w:after="60" w:line="300" w:lineRule="auto"/>
              <w:ind w:firstLine="440"/>
            </w:pPr>
          </w:p>
          <w:p w14:paraId="47D53676">
            <w:pPr>
              <w:spacing w:after="60" w:line="300" w:lineRule="auto"/>
              <w:ind w:firstLine="440"/>
            </w:pPr>
          </w:p>
          <w:p w14:paraId="1541F01D">
            <w:pPr>
              <w:spacing w:after="60" w:line="300" w:lineRule="auto"/>
              <w:ind w:firstLine="440"/>
            </w:pPr>
          </w:p>
          <w:p w14:paraId="6618FAFA">
            <w:pPr>
              <w:spacing w:after="60" w:line="300" w:lineRule="auto"/>
              <w:ind w:firstLine="440"/>
            </w:pPr>
          </w:p>
          <w:p w14:paraId="1735FFA5">
            <w:pPr>
              <w:spacing w:after="60" w:line="300" w:lineRule="auto"/>
              <w:ind w:firstLine="440"/>
              <w:rPr>
                <w:rFonts w:hint="eastAsia"/>
              </w:rPr>
            </w:pPr>
          </w:p>
          <w:p w14:paraId="6435DC29">
            <w:pPr>
              <w:spacing w:before="80" w:after="40"/>
              <w:jc w:val="center"/>
            </w:pPr>
            <w:r>
              <w:drawing>
                <wp:inline distT="0" distB="0" distL="0" distR="0">
                  <wp:extent cx="457200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572000" cy="3105509"/>
                          </a:xfrm>
                          <a:prstGeom prst="rect">
                            <a:avLst/>
                          </a:prstGeom>
                        </pic:spPr>
                      </pic:pic>
                    </a:graphicData>
                  </a:graphic>
                </wp:inline>
              </w:drawing>
            </w:r>
          </w:p>
          <w:p w14:paraId="014C0EA1">
            <w:pPr>
              <w:spacing w:after="120"/>
              <w:jc w:val="center"/>
            </w:pPr>
            <w:r>
              <w:rPr>
                <w:rFonts w:eastAsia="宋体"/>
                <w:sz w:val="20"/>
              </w:rPr>
              <w:t>图2  游戏启动后的双人对战与人机对战模式选择界面</w:t>
            </w:r>
          </w:p>
          <w:p w14:paraId="5DD9E205">
            <w:pPr>
              <w:spacing w:after="100" w:line="276" w:lineRule="auto"/>
            </w:pPr>
            <w:r>
              <w:rPr>
                <w:rFonts w:eastAsia="黑体"/>
                <w:b/>
              </w:rPr>
              <w:t>3.4 人机对战与界面交互测试</w:t>
            </w:r>
          </w:p>
          <w:p w14:paraId="0AC0C81E">
            <w:pPr>
              <w:spacing w:after="60" w:line="300" w:lineRule="auto"/>
              <w:ind w:firstLine="440"/>
            </w:pPr>
            <w:r>
              <w:t>选择人机对战后进入主游戏界面。棋盘采用 15×15 交叉线布局，并绘制了星位点、坐标标识、立体棋子和悬停预览效果。右侧控制面板显示当前对战模式、当前回合、步数统计以及“返回选择”“再来一局”“悔棋”“退出游戏”等按钮。</w:t>
            </w:r>
          </w:p>
          <w:p w14:paraId="20C9CDDD">
            <w:pPr>
              <w:spacing w:after="60" w:line="300" w:lineRule="auto"/>
              <w:ind w:firstLine="440"/>
            </w:pPr>
            <w:r>
              <w:t>测试时，玩家点击棋盘空位后可以落下黑棋，随后 AI 自动落下白棋，步数统计随棋子数量增加而更新。若点击已经有棋子的位置，程序会给出提示，避免覆盖已有棋子。悔棋按钮在人机模式下可撤销玩家与 AI 的最近一轮落子，重置按钮可以清空棋盘并重新开始。</w:t>
            </w:r>
          </w:p>
          <w:p w14:paraId="78EB5C24">
            <w:pPr>
              <w:spacing w:before="80" w:after="40"/>
              <w:jc w:val="center"/>
            </w:pPr>
            <w:r>
              <w:drawing>
                <wp:inline distT="0" distB="0" distL="0" distR="0">
                  <wp:extent cx="4572000" cy="2944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572000" cy="2944678"/>
                          </a:xfrm>
                          <a:prstGeom prst="rect">
                            <a:avLst/>
                          </a:prstGeom>
                        </pic:spPr>
                      </pic:pic>
                    </a:graphicData>
                  </a:graphic>
                </wp:inline>
              </w:drawing>
            </w:r>
          </w:p>
          <w:p w14:paraId="783ACE81">
            <w:pPr>
              <w:spacing w:after="120"/>
              <w:jc w:val="center"/>
            </w:pPr>
            <w:r>
              <w:rPr>
                <w:rFonts w:eastAsia="宋体"/>
                <w:sz w:val="20"/>
              </w:rPr>
              <w:t>图3  人机对战模式运行效果与右侧控制面板</w:t>
            </w:r>
          </w:p>
          <w:p w14:paraId="03112DC4">
            <w:pPr>
              <w:spacing w:after="100" w:line="276" w:lineRule="auto"/>
            </w:pPr>
            <w:r>
              <w:rPr>
                <w:rFonts w:eastAsia="黑体"/>
                <w:b/>
              </w:rPr>
              <w:t>3.5 胜负判定与结果显示测试</w:t>
            </w:r>
          </w:p>
          <w:p w14:paraId="45157844">
            <w:pPr>
              <w:spacing w:after="60" w:line="300" w:lineRule="auto"/>
              <w:ind w:firstLine="440"/>
            </w:pPr>
            <w:r>
              <w:t>为了验证胜负判定功能，在棋盘上连续形成五颗同色棋子。程序检测到白棋五子连珠后，在顶部横幅显示“白棋 胜利！”，右侧面板显示“白棋（胜）”和“白棋 五子连珠！”提示，同时游戏进入结束状态，不再继续普通落子流程。</w:t>
            </w:r>
          </w:p>
          <w:p w14:paraId="63B3AE28">
            <w:pPr>
              <w:spacing w:after="60" w:line="300" w:lineRule="auto"/>
              <w:ind w:firstLine="440"/>
            </w:pPr>
            <w:r>
              <w:t>该测试说明 check_win 函数能够在落子后立即判断胜负，并且结果能够同步反馈到标题区和控制面板中。胜利提示具有明显视觉区分，便于玩家确认游戏结果。</w:t>
            </w:r>
          </w:p>
          <w:p w14:paraId="7F2D231F">
            <w:pPr>
              <w:spacing w:before="80" w:after="40"/>
              <w:jc w:val="center"/>
            </w:pPr>
            <w:r>
              <w:drawing>
                <wp:inline distT="0" distB="0" distL="0" distR="0">
                  <wp:extent cx="5293360" cy="3284855"/>
                  <wp:effectExtent l="0" t="0" r="2540" b="0"/>
                  <wp:docPr id="221402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2515" name="图片 2"/>
                          <pic:cNvPicPr>
                            <a:picLocks noChangeAspect="1"/>
                          </pic:cNvPicPr>
                        </pic:nvPicPr>
                        <pic:blipFill>
                          <a:blip r:embed="rId8"/>
                          <a:stretch>
                            <a:fillRect/>
                          </a:stretch>
                        </pic:blipFill>
                        <pic:spPr>
                          <a:xfrm>
                            <a:off x="0" y="0"/>
                            <a:ext cx="5293360" cy="3284855"/>
                          </a:xfrm>
                          <a:prstGeom prst="rect">
                            <a:avLst/>
                          </a:prstGeom>
                        </pic:spPr>
                      </pic:pic>
                    </a:graphicData>
                  </a:graphic>
                </wp:inline>
              </w:drawing>
            </w:r>
          </w:p>
          <w:p w14:paraId="01A9605D">
            <w:pPr>
              <w:spacing w:after="120"/>
              <w:jc w:val="center"/>
            </w:pPr>
            <w:r>
              <w:rPr>
                <w:rFonts w:eastAsia="宋体"/>
                <w:sz w:val="20"/>
              </w:rPr>
              <w:t>图4  五子连珠后的胜利判定与结果提示</w:t>
            </w:r>
          </w:p>
          <w:p w14:paraId="59E28C40">
            <w:pPr>
              <w:spacing w:after="100" w:line="276" w:lineRule="auto"/>
            </w:pPr>
            <w:r>
              <w:rPr>
                <w:rFonts w:eastAsia="黑体"/>
                <w:b/>
              </w:rPr>
              <w:t>3.6 实验结果分析</w:t>
            </w:r>
            <w:bookmarkStart w:id="0" w:name="_GoBack"/>
            <w:bookmarkEnd w:id="0"/>
          </w:p>
          <w:p w14:paraId="632B637E">
            <w:pPr>
              <w:spacing w:after="60" w:line="300" w:lineRule="auto"/>
              <w:ind w:firstLine="440"/>
            </w:pPr>
            <w:r>
              <w:t>从最终运行效果看，程序已经完成案例要求中的核心模块：棋盘绘制、落子逻辑、胜负判定、按钮响应、双人对战、人机对战、悔棋和重置功能均可以正常使用。界面整体采用木质棋盘和柔和配色，控制面板与棋盘区域分离，游戏状态信息展示清楚，具备直接运行和演示的条件。</w:t>
            </w:r>
          </w:p>
          <w:p w14:paraId="1294C1D3">
            <w:pPr>
              <w:spacing w:after="60" w:line="300" w:lineRule="auto"/>
              <w:ind w:firstLine="440"/>
            </w:pPr>
            <w:r>
              <w:t>AI 对战部分采用评分式策略：电脑会同时评估进攻得分和防守得分，并优先考虑已有棋子附近的空位，从而避免完全随机落子。该策略能够满足原型演示需要，但还不是严格意义上的高水平五子棋算法，没有加入更复杂的搜索树、禁手规则或多步博弈推演，因此在人机对战强度上仍有提升空间。</w:t>
            </w:r>
          </w:p>
          <w:p w14:paraId="6FDC8874">
            <w:pPr>
              <w:spacing w:after="60" w:line="300" w:lineRule="auto"/>
              <w:ind w:firstLine="440"/>
            </w:pPr>
            <w:r>
              <w:t>本次实验最终得到的成果是一个完整 Python 源文件 gobang.py，程序能够在安装 Pygame 的 Windows 环境中直接运行，基本达到了“短周期完成五子棋小游戏原型开发”的目标。</w:t>
            </w:r>
          </w:p>
          <w:p w14:paraId="4D847588">
            <w:pPr>
              <w:spacing w:before="60" w:after="100" w:line="276" w:lineRule="auto"/>
              <w:rPr>
                <w:b/>
                <w:bCs w:val="0"/>
                <w:color w:val="7030A0"/>
                <w:sz w:val="40"/>
                <w:szCs w:val="40"/>
                <w:highlight w:val="none"/>
              </w:rPr>
            </w:pPr>
            <w:r>
              <w:rPr>
                <w:rFonts w:ascii="Times New Roman" w:hAnsi="Times New Roman" w:eastAsia="黑体"/>
                <w:b/>
                <w:bCs w:val="0"/>
                <w:color w:val="7030A0"/>
                <w:sz w:val="36"/>
                <w:szCs w:val="32"/>
                <w:highlight w:val="none"/>
              </w:rPr>
              <w:t xml:space="preserve"> </w:t>
            </w:r>
            <w:r>
              <w:rPr>
                <w:rFonts w:ascii="Times New Roman" w:hAnsi="Times New Roman" w:eastAsia="黑体"/>
                <w:b/>
                <w:bCs w:val="0"/>
                <w:color w:val="7030A0"/>
                <w:sz w:val="44"/>
                <w:szCs w:val="40"/>
                <w:highlight w:val="none"/>
              </w:rPr>
              <w:t>拓展实验：AI 难度选择与胜利连子高亮</w:t>
            </w:r>
          </w:p>
          <w:p w14:paraId="41940D8C">
            <w:pPr>
              <w:spacing w:after="60" w:line="300" w:lineRule="auto"/>
              <w:ind w:firstLine="440"/>
            </w:pPr>
            <w:r>
              <w:rPr>
                <w:rFonts w:ascii="Times New Roman" w:hAnsi="Times New Roman" w:eastAsia="仿宋"/>
                <w:sz w:val="24"/>
              </w:rPr>
              <w:t>在基础五子棋程序能够稳定运行后，继续使用 CodeBuddy 对 gobang.py 进行增量拓展。本次拓展的目标有两个：一是在人机对战模式下增加 AI 难度选择，使玩家可以根据自身水平选择简单、中等或困难模式；二是在棋局结束时对获胜的五子连线进行高亮显示，让胜利结果更加直观。</w:t>
            </w:r>
          </w:p>
          <w:p w14:paraId="1F4D4A0D">
            <w:pPr>
              <w:spacing w:after="60" w:line="300" w:lineRule="auto"/>
              <w:ind w:firstLine="440"/>
            </w:pPr>
            <w:r>
              <w:rPr>
                <w:rFonts w:ascii="Times New Roman" w:hAnsi="Times New Roman" w:eastAsia="仿宋"/>
                <w:sz w:val="24"/>
              </w:rPr>
              <w:t>拓展时没有推翻原有程序结构，而是在原有主循环、胜负判定和 AI 落子函数基础上追加功能。程序新增了难度选择界面，并将难度参数传入 AI 落子逻辑；简单模式保留一定随机性，中等模式采用均衡攻防，困难模式扩大搜索范围并提高进攻、防守评分权重。与此同时，胜负判定函数由“只判断是否胜利”改为“返回获胜棋子坐标”，主循环再根据这些坐标调用高亮绘制函数。</w:t>
            </w:r>
          </w:p>
          <w:p w14:paraId="3BA835A1">
            <w:pPr>
              <w:spacing w:before="60" w:after="20"/>
              <w:jc w:val="center"/>
            </w:pPr>
            <w:r>
              <w:drawing>
                <wp:inline distT="0" distB="0" distL="114300" distR="114300">
                  <wp:extent cx="4983480" cy="2961005"/>
                  <wp:effectExtent l="0" t="0" r="7620" b="10795"/>
                  <wp:docPr id="1034390666" name="Picture 103439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0666" name="Picture 1034390666"/>
                          <pic:cNvPicPr>
                            <a:picLocks noChangeAspect="1"/>
                          </pic:cNvPicPr>
                        </pic:nvPicPr>
                        <pic:blipFill>
                          <a:blip r:embed="rId9"/>
                          <a:stretch>
                            <a:fillRect/>
                          </a:stretch>
                        </pic:blipFill>
                        <pic:spPr>
                          <a:xfrm>
                            <a:off x="0" y="0"/>
                            <a:ext cx="4983480" cy="2961375"/>
                          </a:xfrm>
                          <a:prstGeom prst="rect">
                            <a:avLst/>
                          </a:prstGeom>
                        </pic:spPr>
                      </pic:pic>
                    </a:graphicData>
                  </a:graphic>
                </wp:inline>
              </w:drawing>
            </w:r>
          </w:p>
          <w:p w14:paraId="6765A03B">
            <w:pPr>
              <w:spacing w:after="100" w:line="240" w:lineRule="auto"/>
              <w:jc w:val="center"/>
            </w:pPr>
            <w:r>
              <w:rPr>
                <w:rFonts w:ascii="Times New Roman" w:hAnsi="Times New Roman" w:eastAsia="宋体"/>
                <w:sz w:val="21"/>
              </w:rPr>
              <w:t>图5  拓展后的 AI 难度选择界面</w:t>
            </w:r>
          </w:p>
          <w:p w14:paraId="008786EE">
            <w:pPr>
              <w:spacing w:after="60" w:line="300" w:lineRule="auto"/>
              <w:ind w:firstLine="440"/>
            </w:pPr>
            <w:r>
              <w:rPr>
                <w:rFonts w:ascii="Times New Roman" w:hAnsi="Times New Roman" w:eastAsia="仿宋"/>
                <w:sz w:val="24"/>
              </w:rPr>
              <w:t>运行拓展后的程序，选择人机对战后会进入 AI 难度选择界面。界面提供“简单”“中等”“困难”三张卡片，支持鼠标点击和键盘 1、2、3 快捷选择。测试结果表明，新增界面能够与原有模式选择流程正常衔接。</w:t>
            </w:r>
          </w:p>
          <w:p w14:paraId="0CEF0944">
            <w:pPr>
              <w:spacing w:before="60" w:after="20"/>
              <w:jc w:val="center"/>
            </w:pPr>
            <w:r>
              <w:drawing>
                <wp:inline distT="0" distB="0" distL="114300" distR="114300">
                  <wp:extent cx="4983480" cy="2764155"/>
                  <wp:effectExtent l="0" t="0" r="7620" b="4445"/>
                  <wp:docPr id="1034390667" name="Picture 103439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0667" name="Picture 1034390667"/>
                          <pic:cNvPicPr>
                            <a:picLocks noChangeAspect="1"/>
                          </pic:cNvPicPr>
                        </pic:nvPicPr>
                        <pic:blipFill>
                          <a:blip r:embed="rId10"/>
                          <a:stretch>
                            <a:fillRect/>
                          </a:stretch>
                        </pic:blipFill>
                        <pic:spPr>
                          <a:xfrm>
                            <a:off x="0" y="0"/>
                            <a:ext cx="4983480" cy="2764274"/>
                          </a:xfrm>
                          <a:prstGeom prst="rect">
                            <a:avLst/>
                          </a:prstGeom>
                        </pic:spPr>
                      </pic:pic>
                    </a:graphicData>
                  </a:graphic>
                </wp:inline>
              </w:drawing>
            </w:r>
          </w:p>
          <w:p w14:paraId="38758CAD">
            <w:pPr>
              <w:spacing w:after="100" w:line="240" w:lineRule="auto"/>
              <w:jc w:val="center"/>
            </w:pPr>
            <w:r>
              <w:rPr>
                <w:rFonts w:ascii="Times New Roman" w:hAnsi="Times New Roman" w:eastAsia="宋体"/>
                <w:sz w:val="21"/>
              </w:rPr>
              <w:t>图6  困难难度下的人机对战运行界面</w:t>
            </w:r>
          </w:p>
          <w:p w14:paraId="77727335">
            <w:pPr>
              <w:spacing w:after="60" w:line="300" w:lineRule="auto"/>
              <w:ind w:firstLine="440"/>
            </w:pPr>
            <w:r>
              <w:rPr>
                <w:rFonts w:ascii="Times New Roman" w:hAnsi="Times New Roman" w:eastAsia="仿宋"/>
                <w:sz w:val="24"/>
              </w:rPr>
              <w:t>选择困难模式进入棋局后，右侧控制面板可以显示当前对战模式和“难度：困难”。在该模式下，玩家正常落子后电脑可以自动回应，棋盘绘制、步数统计、悔棋、重置和退出等功能仍保持可用，说明难度参数已经正确进入游戏主流程。</w:t>
            </w:r>
          </w:p>
          <w:p w14:paraId="4C879854">
            <w:pPr>
              <w:spacing w:before="60" w:after="20"/>
              <w:jc w:val="center"/>
            </w:pPr>
            <w:r>
              <w:drawing>
                <wp:inline distT="0" distB="0" distL="114300" distR="114300">
                  <wp:extent cx="4983480" cy="2693670"/>
                  <wp:effectExtent l="0" t="0" r="7620" b="11430"/>
                  <wp:docPr id="1034390668" name="Picture 103439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90668" name="Picture 1034390668"/>
                          <pic:cNvPicPr>
                            <a:picLocks noChangeAspect="1"/>
                          </pic:cNvPicPr>
                        </pic:nvPicPr>
                        <pic:blipFill>
                          <a:blip r:embed="rId11"/>
                          <a:stretch>
                            <a:fillRect/>
                          </a:stretch>
                        </pic:blipFill>
                        <pic:spPr>
                          <a:xfrm>
                            <a:off x="0" y="0"/>
                            <a:ext cx="4983480" cy="2693707"/>
                          </a:xfrm>
                          <a:prstGeom prst="rect">
                            <a:avLst/>
                          </a:prstGeom>
                        </pic:spPr>
                      </pic:pic>
                    </a:graphicData>
                  </a:graphic>
                </wp:inline>
              </w:drawing>
            </w:r>
          </w:p>
          <w:p w14:paraId="52D0100E">
            <w:pPr>
              <w:spacing w:after="100" w:line="240" w:lineRule="auto"/>
              <w:jc w:val="center"/>
            </w:pPr>
            <w:r>
              <w:rPr>
                <w:rFonts w:ascii="Times New Roman" w:hAnsi="Times New Roman" w:eastAsia="宋体"/>
                <w:sz w:val="21"/>
              </w:rPr>
              <w:t>图7  胜利连子高亮显示效果</w:t>
            </w:r>
          </w:p>
          <w:p w14:paraId="5F0F16D9">
            <w:pPr>
              <w:spacing w:after="60" w:line="300" w:lineRule="auto"/>
              <w:ind w:firstLine="440"/>
            </w:pPr>
            <w:r>
              <w:rPr>
                <w:rFonts w:ascii="Times New Roman" w:hAnsi="Times New Roman" w:eastAsia="仿宋"/>
                <w:sz w:val="24"/>
              </w:rPr>
              <w:t>为了验证胜利高亮功能，在双人对战模式中构造黑棋五子连珠局面。程序判定胜利后，顶部横幅显示“黑棋 胜利！”，右侧面板显示“五子连珠”提示，获胜的五颗棋子同时出现金色光晕和红色高亮。该结果说明程序不仅能够判断胜负，还能准确定位并突出显示获胜棋子。</w:t>
            </w:r>
          </w:p>
          <w:p w14:paraId="709E0EB3">
            <w:pPr>
              <w:spacing w:after="60" w:line="300" w:lineRule="auto"/>
              <w:ind w:firstLine="440"/>
            </w:pPr>
            <w:r>
              <w:rPr>
                <w:rFonts w:ascii="Times New Roman" w:hAnsi="Times New Roman" w:eastAsia="仿宋"/>
                <w:sz w:val="24"/>
              </w:rPr>
              <w:t>通过拓展实验，游戏从基础可运行版本进一步提升为具有难度选择和结果强化反馈的版本。这个过程说明 Vibe Coding 适合在已有代码基础上快速迭代功能，但新增状态变量后仍需要人工重点检查模式切换、重置、悔棋和胜利结束等边界情况。</w:t>
            </w:r>
          </w:p>
        </w:tc>
      </w:tr>
      <w:tr w14:paraId="7D7C3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5" w:hRule="atLeast"/>
        </w:trPr>
        <w:tc>
          <w:tcPr>
            <w:tcW w:w="8552" w:type="dxa"/>
            <w:gridSpan w:val="2"/>
          </w:tcPr>
          <w:p w14:paraId="0F89F9D5"/>
          <w:p w14:paraId="3B4213DB">
            <w:pPr>
              <w:spacing w:after="100" w:line="276" w:lineRule="auto"/>
            </w:pPr>
            <w:r>
              <w:rPr>
                <w:rFonts w:eastAsia="黑体"/>
                <w:b/>
                <w:sz w:val="26"/>
              </w:rPr>
              <w:t>4.实验结论及心得</w:t>
            </w:r>
          </w:p>
          <w:p w14:paraId="71008A3A">
            <w:pPr>
              <w:spacing w:after="60" w:line="300" w:lineRule="auto"/>
              <w:ind w:firstLine="440"/>
            </w:pPr>
            <w:r>
              <w:t>通过本次实验，基本完成了基于 CodeBuddy 与 Vibe Coding 的五子棋小游戏开发任务。最终程序能够完成模式选择、棋盘显示、鼠标落子、AI 自动落子、胜负判断、悔棋、重置和退出等功能，界面效果也较为完整，说明 AI 编程工具可以有效帮助开发者在较短时间内形成可运行的软件原型。</w:t>
            </w:r>
          </w:p>
          <w:p w14:paraId="3CC3D2D3">
            <w:pPr>
              <w:spacing w:after="60" w:line="300" w:lineRule="auto"/>
              <w:ind w:firstLine="440"/>
            </w:pPr>
            <w:r>
              <w:t>从人机协同角度看，AI 工具的优势主要体现在需求转代码的速度快、能够快速生成界面框架和基础逻辑，并能根据自然语言描述补充细节。对于本实验这样的小游戏开发任务，开发者只要把需求描述清楚，AI 就能较快给出具有完整结构的代码，显著减少从零搭建项目的时间。</w:t>
            </w:r>
          </w:p>
          <w:p w14:paraId="3F7BB6F4">
            <w:pPr>
              <w:spacing w:after="60" w:line="300" w:lineRule="auto"/>
              <w:ind w:firstLine="440"/>
            </w:pPr>
            <w:r>
              <w:t>但 AI 工具也存在明显边界。AI 生成的代码并不等于一定正确，尤其是在胜负判定、按钮响应、人机对战策略和异常处理等环节，需要开发者实际运行、观察现象并进行修正。比如五子棋 AI 虽然能够根据局面评分落子，但它没有真正理解完整博弈策略，也不能保证每一步都是最优解。开发者仍然需要承担需求把关、代码审查和测试验证的责任。</w:t>
            </w:r>
          </w:p>
          <w:p w14:paraId="0826815D">
            <w:pPr>
              <w:spacing w:after="60" w:line="300" w:lineRule="auto"/>
              <w:ind w:firstLine="440"/>
            </w:pPr>
            <w:r>
              <w:t>从适用场景看，CodeBuddy 更适合用于课程实验、原型开发、界面初稿生成、常规功能模块搭建和代码解释辅助；对于安全性要求高、规则复杂或需要高性能优化的正式项目，则不能只依赖 AI 直接生成结果，而应结合人工设计、单元测试和版本管理流程。</w:t>
            </w:r>
          </w:p>
          <w:p w14:paraId="483D94A4">
            <w:pPr>
              <w:spacing w:after="60" w:line="300" w:lineRule="auto"/>
              <w:ind w:firstLine="440"/>
            </w:pPr>
            <w:r>
              <w:t>在伦理风险与安全保障方面，使用 AI 编程时需要注意代码来源、版权归属和安全漏洞问题，不应直接复制未知风险代码用于正式系统。对于 AI 生成的程序，应检查是否存在死循环、资源泄漏、异常退出、输入处理不当等问题，并在提交前进行充分测试。本实验也说明，AI 可以成为开发者的高效助手，但最终的软件质量仍取决于人的判断、测试和改进。</w:t>
            </w:r>
          </w:p>
          <w:p w14:paraId="288C97C4">
            <w:pPr>
              <w:spacing w:after="60" w:line="300" w:lineRule="auto"/>
              <w:ind w:firstLine="440"/>
            </w:pPr>
            <w:r>
              <w:rPr>
                <w:rFonts w:ascii="Times New Roman" w:hAnsi="Times New Roman" w:eastAsia="仿宋"/>
                <w:sz w:val="24"/>
              </w:rPr>
              <w:t>在拓展实验中，继续借助 CodeBuddy 增加了 AI 难度选择和胜利连子高亮显示功能，使游戏的可玩性和结果反馈更加完整。这个过程也说明，AI 编程工具可以快速完成增量开发，但功能越多，状态变量之间的关系越复杂，仍需要开发者通过运行测试确认逻辑正确。</w:t>
            </w:r>
          </w:p>
        </w:tc>
      </w:tr>
    </w:tbl>
    <w:p w14:paraId="219D3ABE">
      <w:pPr>
        <w:rPr>
          <w:color w:val="000000" w:themeColor="text1"/>
          <w:sz w:val="31"/>
          <w14:textFill>
            <w14:solidFill>
              <w14:schemeClr w14:val="tx1"/>
            </w14:solidFill>
          </w14:textFill>
        </w:rPr>
      </w:pPr>
    </w:p>
    <w:sectPr>
      <w:pgSz w:w="11906" w:h="16838"/>
      <w:pgMar w:top="1134" w:right="1361" w:bottom="1134" w:left="136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JmM2Q5ZTJkYWM5OTgyOTY2NzhiOTU4ZTRlZWNmOGQifQ=="/>
  </w:docVars>
  <w:rsids>
    <w:rsidRoot w:val="00D36213"/>
    <w:rsid w:val="00023349"/>
    <w:rsid w:val="00057F8D"/>
    <w:rsid w:val="000A303A"/>
    <w:rsid w:val="000E537D"/>
    <w:rsid w:val="000F18D6"/>
    <w:rsid w:val="001A6C8E"/>
    <w:rsid w:val="001D7B06"/>
    <w:rsid w:val="001E6462"/>
    <w:rsid w:val="001F4A47"/>
    <w:rsid w:val="00210869"/>
    <w:rsid w:val="00212D41"/>
    <w:rsid w:val="00227D7E"/>
    <w:rsid w:val="00245DB0"/>
    <w:rsid w:val="002863E9"/>
    <w:rsid w:val="002A16D3"/>
    <w:rsid w:val="002F023B"/>
    <w:rsid w:val="00332475"/>
    <w:rsid w:val="00332E87"/>
    <w:rsid w:val="00343EF8"/>
    <w:rsid w:val="004136CD"/>
    <w:rsid w:val="0044415C"/>
    <w:rsid w:val="00497BBE"/>
    <w:rsid w:val="004B1E55"/>
    <w:rsid w:val="004E656B"/>
    <w:rsid w:val="005319C6"/>
    <w:rsid w:val="0054340D"/>
    <w:rsid w:val="00547458"/>
    <w:rsid w:val="005704A7"/>
    <w:rsid w:val="0058583A"/>
    <w:rsid w:val="005B45FD"/>
    <w:rsid w:val="005D4F6E"/>
    <w:rsid w:val="00602783"/>
    <w:rsid w:val="00622AED"/>
    <w:rsid w:val="00632A2C"/>
    <w:rsid w:val="0066201D"/>
    <w:rsid w:val="006C0773"/>
    <w:rsid w:val="006D3B25"/>
    <w:rsid w:val="007150E7"/>
    <w:rsid w:val="00735B66"/>
    <w:rsid w:val="00740055"/>
    <w:rsid w:val="0075346C"/>
    <w:rsid w:val="0077084B"/>
    <w:rsid w:val="0077260B"/>
    <w:rsid w:val="007B1556"/>
    <w:rsid w:val="00846B10"/>
    <w:rsid w:val="00864083"/>
    <w:rsid w:val="008771F9"/>
    <w:rsid w:val="00886144"/>
    <w:rsid w:val="0089471E"/>
    <w:rsid w:val="008B47FE"/>
    <w:rsid w:val="008F51AC"/>
    <w:rsid w:val="0092723F"/>
    <w:rsid w:val="00930EE3"/>
    <w:rsid w:val="009571DE"/>
    <w:rsid w:val="009E3B0F"/>
    <w:rsid w:val="009F6516"/>
    <w:rsid w:val="009F710E"/>
    <w:rsid w:val="00A015E8"/>
    <w:rsid w:val="00A13E63"/>
    <w:rsid w:val="00A2641A"/>
    <w:rsid w:val="00A33BBF"/>
    <w:rsid w:val="00A75984"/>
    <w:rsid w:val="00AA4426"/>
    <w:rsid w:val="00AB432D"/>
    <w:rsid w:val="00AB6B2B"/>
    <w:rsid w:val="00AE2C31"/>
    <w:rsid w:val="00AF31F9"/>
    <w:rsid w:val="00B35489"/>
    <w:rsid w:val="00BB3D31"/>
    <w:rsid w:val="00BB666A"/>
    <w:rsid w:val="00C3209A"/>
    <w:rsid w:val="00C6292B"/>
    <w:rsid w:val="00C77210"/>
    <w:rsid w:val="00C777FB"/>
    <w:rsid w:val="00C94EA4"/>
    <w:rsid w:val="00CB1502"/>
    <w:rsid w:val="00CC51FF"/>
    <w:rsid w:val="00CC5899"/>
    <w:rsid w:val="00CD6A94"/>
    <w:rsid w:val="00CD7083"/>
    <w:rsid w:val="00CE113B"/>
    <w:rsid w:val="00D012CE"/>
    <w:rsid w:val="00D15AB1"/>
    <w:rsid w:val="00D233E0"/>
    <w:rsid w:val="00D36213"/>
    <w:rsid w:val="00D420AC"/>
    <w:rsid w:val="00D54422"/>
    <w:rsid w:val="00D655CC"/>
    <w:rsid w:val="00D65972"/>
    <w:rsid w:val="00D71013"/>
    <w:rsid w:val="00D91D78"/>
    <w:rsid w:val="00DF354A"/>
    <w:rsid w:val="00E507EA"/>
    <w:rsid w:val="00E909B9"/>
    <w:rsid w:val="00EB6049"/>
    <w:rsid w:val="00F23387"/>
    <w:rsid w:val="00F27369"/>
    <w:rsid w:val="00F66557"/>
    <w:rsid w:val="00FE400D"/>
    <w:rsid w:val="00FE7C14"/>
    <w:rsid w:val="00FF72AA"/>
    <w:rsid w:val="01203FAE"/>
    <w:rsid w:val="04275653"/>
    <w:rsid w:val="07995B5F"/>
    <w:rsid w:val="0A776063"/>
    <w:rsid w:val="0ED168E7"/>
    <w:rsid w:val="0F2E3ECA"/>
    <w:rsid w:val="0F895414"/>
    <w:rsid w:val="0F9E7BCD"/>
    <w:rsid w:val="11E3705D"/>
    <w:rsid w:val="13135D2E"/>
    <w:rsid w:val="1537146E"/>
    <w:rsid w:val="19486FEA"/>
    <w:rsid w:val="1BFD6F6E"/>
    <w:rsid w:val="1C724E7C"/>
    <w:rsid w:val="1D5B3376"/>
    <w:rsid w:val="1E763007"/>
    <w:rsid w:val="1E845724"/>
    <w:rsid w:val="1EE14925"/>
    <w:rsid w:val="21913F0E"/>
    <w:rsid w:val="226F2247"/>
    <w:rsid w:val="231D0935"/>
    <w:rsid w:val="2596493C"/>
    <w:rsid w:val="2A842C1B"/>
    <w:rsid w:val="2B193698"/>
    <w:rsid w:val="2E951288"/>
    <w:rsid w:val="2EC02441"/>
    <w:rsid w:val="2F6A44C2"/>
    <w:rsid w:val="31AB08CF"/>
    <w:rsid w:val="32843AED"/>
    <w:rsid w:val="330469DC"/>
    <w:rsid w:val="34056446"/>
    <w:rsid w:val="341E3ACD"/>
    <w:rsid w:val="37327BF5"/>
    <w:rsid w:val="387B0179"/>
    <w:rsid w:val="39504729"/>
    <w:rsid w:val="3CD236A7"/>
    <w:rsid w:val="3CE358B4"/>
    <w:rsid w:val="3F3142F6"/>
    <w:rsid w:val="418D57E2"/>
    <w:rsid w:val="46BC4C75"/>
    <w:rsid w:val="4BF453E8"/>
    <w:rsid w:val="50011E81"/>
    <w:rsid w:val="53034162"/>
    <w:rsid w:val="54B1374E"/>
    <w:rsid w:val="54B54DB2"/>
    <w:rsid w:val="57106172"/>
    <w:rsid w:val="59E26240"/>
    <w:rsid w:val="5A366BCB"/>
    <w:rsid w:val="5E510679"/>
    <w:rsid w:val="600B28A8"/>
    <w:rsid w:val="60602BF4"/>
    <w:rsid w:val="60DB04CD"/>
    <w:rsid w:val="626B09A7"/>
    <w:rsid w:val="628030DA"/>
    <w:rsid w:val="678B7C05"/>
    <w:rsid w:val="69B8584F"/>
    <w:rsid w:val="6A1E55F6"/>
    <w:rsid w:val="6A617C95"/>
    <w:rsid w:val="6AEA1681"/>
    <w:rsid w:val="6DF204F3"/>
    <w:rsid w:val="6E537AD1"/>
    <w:rsid w:val="6FA06290"/>
    <w:rsid w:val="717C3606"/>
    <w:rsid w:val="72092D38"/>
    <w:rsid w:val="72B03562"/>
    <w:rsid w:val="74A94712"/>
    <w:rsid w:val="751878CB"/>
    <w:rsid w:val="77EB5041"/>
    <w:rsid w:val="7ED956A6"/>
    <w:rsid w:val="B95C670B"/>
    <w:rsid w:val="FBFBE4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imes New Roman"/>
      <w:kern w:val="2"/>
      <w:sz w:val="22"/>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
    <w:name w:val="页脚 字符"/>
    <w:link w:val="2"/>
    <w:semiHidden/>
    <w:qFormat/>
    <w:uiPriority w:val="99"/>
    <w:rPr>
      <w:sz w:val="18"/>
      <w:szCs w:val="18"/>
    </w:rPr>
  </w:style>
  <w:style w:type="character" w:customStyle="1" w:styleId="8">
    <w:name w:val="页眉 字符"/>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438E3-DE3C-4E95-8AD2-61D44E79AB25}">
  <ds:schemaRefs/>
</ds:datastoreItem>
</file>

<file path=docProps/app.xml><?xml version="1.0" encoding="utf-8"?>
<Properties xmlns="http://schemas.openxmlformats.org/officeDocument/2006/extended-properties" xmlns:vt="http://schemas.openxmlformats.org/officeDocument/2006/docPropsVTypes">
  <Template>Normal</Template>
  <Pages>8</Pages>
  <Words>3455</Words>
  <Characters>3789</Characters>
  <Lines>22</Lines>
  <Paragraphs>6</Paragraphs>
  <TotalTime>6</TotalTime>
  <ScaleCrop>false</ScaleCrop>
  <LinksUpToDate>false</LinksUpToDate>
  <CharactersWithSpaces>4002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2026-07-03T02:59:00Z</dcterms:created>
  <dc:creator>WPS_1671339666</dc:creator>
  <cp:lastModifiedBy>WPS_1671339666</cp:lastModifiedBy>
  <cp:lastPrinted>2016-03-16T00:39:00Z</cp:lastPrinted>
  <dcterms:modified xsi:type="dcterms:W3CDTF">2026-07-06T14:23:23Z</dcterms:modified>
  <dc:title>基于CodeBuddy与Vibe Coding的五子棋小游戏开发实验报告</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FB15172283C8451C88D79E7C2A1F5EA1_13</vt:lpwstr>
  </property>
  <property fmtid="{D5CDD505-2E9C-101B-9397-08002B2CF9AE}" pid="4" name="KSOTemplateDocerSaveRecord">
    <vt:lpwstr>eyJoZGlkIjoiMDc0N2Y5YTg4MmNjODNlZDQ3Y2VkMWFjNzRiNzJkZDYiLCJ1c2VySWQiOiIxNDUwODcyNDg4In0=</vt:lpwstr>
  </property>
</Properties>
</file>