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7ED7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7F2CAF">
      <w:pPr>
        <w:rPr>
          <w:rFonts w:hint="eastAsia" w:ascii="宋体" w:hAnsi="宋体"/>
          <w:color w:val="000000" w:themeColor="text1"/>
          <w:spacing w:val="40"/>
          <w:sz w:val="71"/>
          <w14:textFill>
            <w14:solidFill>
              <w14:schemeClr w14:val="tx1"/>
            </w14:solidFill>
          </w14:textFill>
        </w:rPr>
      </w:pPr>
    </w:p>
    <w:p w14:paraId="44947A85">
      <w:pPr>
        <w:jc w:val="center"/>
        <w:rPr>
          <w:rFonts w:hint="eastAsia" w:ascii="宋体" w:hAnsi="宋体"/>
          <w:spacing w:val="40"/>
          <w:sz w:val="71"/>
        </w:rPr>
      </w:pPr>
      <w:r>
        <w:rPr>
          <w:rFonts w:hint="eastAsia" w:ascii="宋体" w:hAnsi="宋体"/>
          <w:spacing w:val="40"/>
          <w:sz w:val="71"/>
        </w:rPr>
        <w:t xml:space="preserve"> 北京交通大学</w:t>
      </w:r>
    </w:p>
    <w:p w14:paraId="42ED3305">
      <w:pPr>
        <w:jc w:val="center"/>
        <w:rPr>
          <w:rFonts w:hint="eastAsia" w:ascii="宋体" w:hAnsi="宋体"/>
          <w:color w:val="FF0000"/>
          <w:spacing w:val="40"/>
          <w:sz w:val="30"/>
          <w:szCs w:val="30"/>
        </w:rPr>
      </w:pPr>
    </w:p>
    <w:p w14:paraId="6D329861">
      <w:pPr>
        <w:jc w:val="center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  <w:t xml:space="preserve"> 实验报告</w:t>
      </w:r>
    </w:p>
    <w:p w14:paraId="50A9445C">
      <w:pPr>
        <w:jc w:val="center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</w:p>
    <w:p w14:paraId="18191896">
      <w:pPr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63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4434"/>
      </w:tblGrid>
      <w:tr w14:paraId="03E06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5D23A966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  <w:t>专   业：</w:t>
            </w:r>
          </w:p>
        </w:tc>
        <w:tc>
          <w:tcPr>
            <w:tcW w:w="4434" w:type="dxa"/>
            <w:tcBorders>
              <w:bottom w:val="single" w:color="auto" w:sz="4" w:space="0"/>
            </w:tcBorders>
          </w:tcPr>
          <w:p w14:paraId="497BA99B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  <w:t>软件工程</w:t>
            </w:r>
          </w:p>
        </w:tc>
      </w:tr>
      <w:tr w14:paraId="73265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1498BBF6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  <w:t>课程名称：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6BB857AD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  <w:t>人工智能编程实践</w:t>
            </w:r>
          </w:p>
        </w:tc>
      </w:tr>
      <w:tr w14:paraId="357F4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49937DBC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  <w:t>班   级：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01E9F28A">
            <w:pPr>
              <w:jc w:val="center"/>
              <w:rPr>
                <w:rFonts w:hint="default" w:ascii="宋体" w:hAnsi="宋体" w:eastAsia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2503</w:t>
            </w:r>
          </w:p>
        </w:tc>
      </w:tr>
      <w:tr w14:paraId="04B50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0375BD42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  <w:t>学   号：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11E7D70D">
            <w:pPr>
              <w:jc w:val="center"/>
              <w:rPr>
                <w:rFonts w:hint="default" w:ascii="宋体" w:hAnsi="宋体" w:eastAsia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25531435</w:t>
            </w:r>
          </w:p>
        </w:tc>
      </w:tr>
      <w:tr w14:paraId="39BEC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01EC2069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  <w:t>姓   名：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45939D3B">
            <w:pPr>
              <w:jc w:val="center"/>
              <w:rPr>
                <w:rFonts w:hint="eastAsia" w:ascii="宋体" w:hAnsi="宋体" w:eastAsia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陈锐泽</w:t>
            </w:r>
          </w:p>
        </w:tc>
      </w:tr>
      <w:tr w14:paraId="2203B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34B15E0D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  <w:t>辅导教师：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179EDBFF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  <w:t>付梓焱</w:t>
            </w:r>
          </w:p>
        </w:tc>
      </w:tr>
    </w:tbl>
    <w:p w14:paraId="48C902E7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2497C05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DF8BEA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2BF2B3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623D203C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00C1A863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3B008D88">
      <w:pPr>
        <w:jc w:val="center"/>
        <w:rPr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  <w:t xml:space="preserve">            </w:t>
      </w:r>
    </w:p>
    <w:p w14:paraId="6DBB3A55">
      <w:pPr>
        <w:jc w:val="center"/>
        <w:rPr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  <w:t xml:space="preserve">                      成绩：</w:t>
      </w:r>
      <w:r>
        <w:rPr>
          <w:rFonts w:hint="eastAsia"/>
          <w:color w:val="000000" w:themeColor="text1"/>
          <w:spacing w:val="30"/>
          <w:sz w:val="25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30"/>
          <w:sz w:val="25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/>
          <w:color w:val="000000" w:themeColor="text1"/>
          <w:spacing w:val="30"/>
          <w:sz w:val="25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  <w:t xml:space="preserve">             </w:t>
      </w:r>
    </w:p>
    <w:p w14:paraId="71F3E8C4"/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4"/>
      </w:tblGrid>
      <w:tr w14:paraId="32C4F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35890F">
            <w:pPr>
              <w:spacing w:line="312" w:lineRule="auto"/>
              <w:jc w:val="left"/>
            </w:pPr>
            <w:r>
              <w:rPr>
                <w:rFonts w:ascii="Times New Roman" w:hAnsi="Times New Roman" w:eastAsia="黑体"/>
                <w:b/>
                <w:sz w:val="24"/>
              </w:rPr>
              <w:t>实验时间</w:t>
            </w:r>
          </w:p>
        </w:tc>
        <w:tc>
          <w:tcPr>
            <w:tcW w:w="6804" w:type="dxa"/>
            <w:vAlign w:val="center"/>
          </w:tcPr>
          <w:p w14:paraId="61D7E6FA">
            <w:pPr>
              <w:spacing w:line="312" w:lineRule="auto"/>
              <w:jc w:val="center"/>
            </w:pPr>
            <w:r>
              <w:rPr>
                <w:rFonts w:ascii="Times New Roman" w:hAnsi="Times New Roman" w:eastAsia="仿宋"/>
                <w:sz w:val="24"/>
              </w:rPr>
              <w:t>2026年7月6日</w:t>
            </w:r>
          </w:p>
        </w:tc>
      </w:tr>
    </w:tbl>
    <w:p w14:paraId="4A8CB24B">
      <w:pPr>
        <w:spacing w:before="160" w:after="120" w:line="300" w:lineRule="auto"/>
      </w:pPr>
      <w:r>
        <w:rPr>
          <w:rFonts w:ascii="Times New Roman" w:hAnsi="Times New Roman" w:eastAsia="黑体"/>
          <w:b/>
          <w:sz w:val="28"/>
        </w:rPr>
        <w:t>1. 实验名称</w:t>
      </w:r>
    </w:p>
    <w:p w14:paraId="12A0BA92">
      <w:pPr>
        <w:spacing w:after="120" w:line="360" w:lineRule="auto"/>
        <w:ind w:firstLine="48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科研文献解读助手</w:t>
      </w:r>
    </w:p>
    <w:p w14:paraId="3B2225EA">
      <w:pPr>
        <w:spacing w:before="160" w:after="120" w:line="300" w:lineRule="auto"/>
      </w:pPr>
      <w:r>
        <w:rPr>
          <w:rFonts w:ascii="Times New Roman" w:hAnsi="Times New Roman" w:eastAsia="黑体"/>
          <w:b/>
          <w:sz w:val="28"/>
        </w:rPr>
        <w:t>2. 实验目的</w:t>
      </w:r>
    </w:p>
    <w:p w14:paraId="281568A9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本实验围绕“AI重塑科研文献解读”这一应用场景展开，目标是理解传统文献阅读在耗时、信息提取和重复整理方面存在的痛点，并尝试利用智能体工具完成文献信息的自动化提取与结构化输出。</w:t>
      </w:r>
    </w:p>
    <w:p w14:paraId="585CEF63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通过在Coze平台创建文献解读助手，掌握智能体人设编写、工作流调用、插件配置、节点连接和调试运行等基本操作，形成从需求分析到成品发布的完整实践流程。</w:t>
      </w:r>
    </w:p>
    <w:p w14:paraId="00589A8F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在实验过程中，重点观察AI对论文基本信息、摘要、研究方法、研究结果和结论等内容的提取效果，进一步认识AI工具在科研辅助中的优势、适用场景和能力边界。</w:t>
      </w:r>
    </w:p>
    <w:p w14:paraId="622E2182">
      <w:pPr>
        <w:spacing w:before="160" w:after="120" w:line="300" w:lineRule="auto"/>
      </w:pPr>
      <w:r>
        <w:rPr>
          <w:rFonts w:ascii="Times New Roman" w:hAnsi="Times New Roman" w:eastAsia="黑体"/>
          <w:b/>
          <w:sz w:val="28"/>
        </w:rPr>
        <w:t>3. 实验过程及结果</w:t>
      </w:r>
    </w:p>
    <w:p w14:paraId="1EC875F6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本次实验按照实验手册要求完成。实验任务要求基于Coze智能体搭建科研文献解读助手，整体流程包括智能体创建、工作流创建和智能体编排三个阶段。实验开始前，先阅读手册中关于“AI重塑科研文献解读流程”的说明，明确该智能体需要支持文献上传、智能提取、结构化报告和交互式问答等功能。</w:t>
      </w:r>
    </w:p>
    <w:p w14:paraId="0B62184A">
      <w:pPr>
        <w:jc w:val="center"/>
      </w:pPr>
      <w:r>
        <w:drawing>
          <wp:inline distT="0" distB="0" distL="114300" distR="114300">
            <wp:extent cx="5543550" cy="31559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5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9205">
      <w:pPr>
        <w:spacing w:after="160"/>
        <w:jc w:val="center"/>
      </w:pPr>
      <w:r>
        <w:rPr>
          <w:rFonts w:ascii="Times New Roman" w:hAnsi="Times New Roman" w:eastAsia="仿宋"/>
        </w:rPr>
        <w:t>图1 实验手册中关于AI文献解读流程和案例任务的说明</w:t>
      </w:r>
    </w:p>
    <w:p w14:paraId="40D09A11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在需求分析阶段，可以将智能体的核心任务概括为：接收用户输入的论文链接或文献内容，调用工作流读取并处理文本，再将文献中的关键信息整理为便于阅读的结构化结果。与人工通读全文相比，该流程更适合完成初步筛选、摘要归纳和信息归档等重复性工作。</w:t>
      </w:r>
    </w:p>
    <w:p w14:paraId="1DB34642">
      <w:pPr>
        <w:spacing w:before="160" w:after="120" w:line="300" w:lineRule="auto"/>
      </w:pPr>
      <w:r>
        <w:rPr>
          <w:rFonts w:ascii="Times New Roman" w:hAnsi="Times New Roman" w:eastAsia="黑体"/>
          <w:b/>
          <w:sz w:val="25"/>
        </w:rPr>
        <w:t>3.1 智能体创建与人设配置</w:t>
      </w:r>
    </w:p>
    <w:p w14:paraId="019B21C8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进入Coze工作空间后，新建智能体并命名为“文献解读助手”。在人设与回复逻辑中，将智能体设定为文献解读专家，要求其在用户上传文献时调用工作流summary_content，并原封不动地输出工作流返回结果，不额外进行工作流之外的总结。</w:t>
      </w:r>
    </w:p>
    <w:p w14:paraId="376B93EE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为了保证输出结果清晰、便于复制到实验报告或学习笔记中，回复规则中设置了中文输出、Markdown格式、二级标题不使用加粗、尽量一次性展示完整结果等限制。同时，提示词还要求智能体采用第一人称第三人称，避免使用“研究者们”“作者”等不够精确的表述，使生成结果更贴近正式文献解读报告的写法。</w:t>
      </w:r>
    </w:p>
    <w:p w14:paraId="3516D3A0">
      <w:pPr>
        <w:jc w:val="center"/>
      </w:pPr>
      <w:bookmarkStart w:id="0" w:name="_GoBack"/>
      <w:r>
        <w:drawing>
          <wp:inline distT="0" distB="0" distL="114300" distR="114300">
            <wp:extent cx="5543550" cy="295846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5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7C16EFA">
      <w:pPr>
        <w:spacing w:after="160"/>
        <w:jc w:val="center"/>
      </w:pPr>
      <w:r>
        <w:rPr>
          <w:rFonts w:ascii="Times New Roman" w:hAnsi="Times New Roman" w:eastAsia="仿宋"/>
        </w:rPr>
        <w:t>图2 文献解读助手的人设配置、工作流绑定与预览调试界面</w:t>
      </w:r>
    </w:p>
    <w:p w14:paraId="62CB3C18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从调试预览可以看到，智能体能够围绕输入论文生成“摘要”“研究背景”“研究内容和手段”“研究结果”等内容。测试中模型针对Open-Domain Question Answering相关文献进行了概括，提取出模型框架、检索增强语言模型、知识增强编码器、MIPS检索等关键信息，并指出如果需要完整结论，还应提供文献Conclusion部分。该现象说明智能体可以完成结构化提取，但结果完整性仍依赖于输入文档的覆盖范围。</w:t>
      </w:r>
    </w:p>
    <w:p w14:paraId="29CD454E">
      <w:pPr>
        <w:spacing w:before="160" w:after="120" w:line="300" w:lineRule="auto"/>
      </w:pPr>
      <w:r>
        <w:rPr>
          <w:rFonts w:ascii="Times New Roman" w:hAnsi="Times New Roman" w:eastAsia="黑体"/>
          <w:b/>
          <w:sz w:val="25"/>
        </w:rPr>
        <w:t>3.2 工作流创建与节点连接</w:t>
      </w:r>
    </w:p>
    <w:p w14:paraId="42E879FB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工作流命名为summary_content，主要作用是“快速得到文献的概要信息，包括基本信息、摘要和结论”。工作流采用线性处理与并行提取相结合的结构：开始节点接收用户输入，提示输出节点提醒用户文献分析可能需要一定时间，随后通过LinkReaderPlugin读取文献链接或文件内容，再进入文本处理节点。</w:t>
      </w:r>
    </w:p>
    <w:p w14:paraId="6B9C784F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文本处理完成后，流程分为三个分支，分别由“基本信息”“摘要”“结论”三个大模型节点处理同一份文献内容。其中，基本信息节点负责提取标题、作者、研究对象等内容；摘要节点负责归纳研究背景、研究方法和主要结果；结论节点负责整理最终结论、局限性和未来工作。最后，结束节点将basic_info、abstract和conclusion三个变量合并返回给智能体。</w:t>
      </w:r>
    </w:p>
    <w:p w14:paraId="6CC05EA4">
      <w:pPr>
        <w:jc w:val="center"/>
      </w:pPr>
      <w:r>
        <w:drawing>
          <wp:inline distT="0" distB="0" distL="114300" distR="114300">
            <wp:extent cx="5687695" cy="155511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5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A1CE">
      <w:pPr>
        <w:spacing w:after="160"/>
        <w:jc w:val="center"/>
      </w:pPr>
      <w:r>
        <w:rPr>
          <w:rFonts w:ascii="Times New Roman" w:hAnsi="Times New Roman" w:eastAsia="仿宋"/>
        </w:rPr>
        <w:t>图3 summary_content工作流的节点连接与输出变量设置</w:t>
      </w:r>
    </w:p>
    <w:p w14:paraId="127B28CA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该工作流的优点是结构比较清楚，输入、读取、文本处理、分项提取和结果返回之间的逻辑关系明确。不同信息由不同节点分别处理，可以降低单个节点提示词过长带来的混乱，也便于后续单独修改某一部分的提示词。例如，如果摘要结果过长，可以只调整“摘要”节点；如果结论缺少局限性，可以只修改“结论”节点。</w:t>
      </w:r>
    </w:p>
    <w:p w14:paraId="19D895C4">
      <w:pPr>
        <w:spacing w:before="160" w:after="120" w:line="300" w:lineRule="auto"/>
      </w:pPr>
      <w:r>
        <w:rPr>
          <w:rFonts w:ascii="Times New Roman" w:hAnsi="Times New Roman" w:eastAsia="黑体"/>
          <w:b/>
          <w:sz w:val="25"/>
        </w:rPr>
        <w:t>3.3 成品发布与实验结果</w:t>
      </w:r>
    </w:p>
    <w:p w14:paraId="24F64584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完成智能体配置和工作流调试后，点击发布按钮，生成可访问的成品智能体页面。成品链接为：https://www.coze.cn/space/7659222209500299300/bot/7659223388900392994。</w:t>
      </w:r>
    </w:p>
    <w:p w14:paraId="16D58D1B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实验结果表明，文献解读助手已经能够完成基本的信息提取任务。用户输入文献链接或上传文献后，智能体会调用summary_content工作流，对文献内容进行读取、处理和分项概括，最终输出包含基本信息、摘要和结论的结构化文本。与直接让大模型自由总结相比，工作流模式使输出过程更可控，也更符合实验手册中“文献上传—智能提取—结构化报告—交互式问答”的任务要求。</w:t>
      </w:r>
    </w:p>
    <w:p w14:paraId="19930879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测试过程中也发现，若原始输入材料不完整，尤其是缺少结论部分或论文后半部分内容，智能体会出现结论信息不足的情况，并提示用户补充Conclusion部分。这说明AI工具虽然能够提高阅读效率，但仍不能脱离原文材料独立生成可靠结论，最终内容需要由使用者结合原文进行核对。</w:t>
      </w:r>
    </w:p>
    <w:p w14:paraId="38B8BE42">
      <w:pPr>
        <w:spacing w:before="160" w:after="120" w:line="300" w:lineRule="auto"/>
      </w:pPr>
      <w:r>
        <w:rPr>
          <w:rFonts w:ascii="Times New Roman" w:hAnsi="Times New Roman" w:eastAsia="黑体"/>
          <w:b/>
          <w:sz w:val="28"/>
        </w:rPr>
        <w:t>4. 实验结论及心得</w:t>
      </w:r>
    </w:p>
    <w:p w14:paraId="2267BB93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通过本次实验，基于Coze平台的科研文献解读智能体已经基本搭建完成。智能体能够调用summary_content工作流，对输入文献进行读取、文本处理和结构化概括，输出基本信息、摘要和结论等内容，基本达成了实验目标。</w:t>
      </w:r>
    </w:p>
    <w:p w14:paraId="0093C8D4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从人机协同角度看，AI在文献阅读中的优势主要体现在效率和结构化能力上。科研人员面对一篇新论文时，往往需要先判断研究背景、方法路线、实验结果和结论是否值得深入阅读。智能体可以先完成初步梳理，把分散在论文不同位置的信息整理成清晰的条目，帮助使用者快速建立整体认识。对于需要阅读多篇文献的场景，这种辅助方式能够明显减少重复劳动。</w:t>
      </w:r>
    </w:p>
    <w:p w14:paraId="408C1900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AI工具的能力边界也比较明显。它更适合做初筛、归纳、提取和格式整理，不适合直接替代研究者做学术判断。论文中的实验设计是否合理、数据是否充分、结论是否夸大、创新点是否真正成立，仍然需要人工结合专业知识和原文细节进行判断。特别是当输入内容不完整、文献格式复杂或专业术语较多时，AI可能遗漏限定条件，也可能把不确定的信息写得过于肯定。</w:t>
      </w:r>
    </w:p>
    <w:p w14:paraId="59A7E061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在人工智能应用伦理与安全方面，本实验也带来了一些思考。使用AI处理科研文献时，应注意文献版权、未公开论文的数据安全以及生成内容的真实性。对于尚未发表的论文、含有敏感数据的实验材料或他人受限访问的文档，不应随意上传到第三方平台。AI生成的文献解读应当标明其辅助性质，重要结论必须回到原文核验，避免把模型输出直接当作可靠事实。</w:t>
      </w:r>
    </w:p>
    <w:p w14:paraId="1857C434">
      <w:pPr>
        <w:spacing w:after="120" w:line="360" w:lineRule="auto"/>
        <w:ind w:firstLine="480"/>
      </w:pPr>
      <w:r>
        <w:rPr>
          <w:rFonts w:ascii="Times New Roman" w:hAnsi="Times New Roman" w:eastAsia="仿宋"/>
          <w:sz w:val="24"/>
        </w:rPr>
        <w:t>总体来看，Coze智能体适合作为科研文献阅读的辅助工具。它能够帮助用户更快进入论文内容，降低资料整理成本，但真正的科研理解仍然依赖人的判断、追问和反思。合理的使用方式不是让AI完全代替阅读，而是让AI承担重复性整理工作，把更多时间留给研究者进行比较、分析和创新。</w:t>
      </w:r>
    </w:p>
    <w:p w14:paraId="43B42B74">
      <w:pPr>
        <w:rPr>
          <w:rFonts w:hint="eastAsia"/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JmM2Q5ZTJkYWM5OTgyOTY2NzhiOTU4ZTRlZWNmOGQifQ=="/>
  </w:docVars>
  <w:rsids>
    <w:rsidRoot w:val="00D36213"/>
    <w:rsid w:val="00023349"/>
    <w:rsid w:val="00057F8D"/>
    <w:rsid w:val="000A303A"/>
    <w:rsid w:val="000E537D"/>
    <w:rsid w:val="000F18D6"/>
    <w:rsid w:val="001A6C8E"/>
    <w:rsid w:val="001D7B06"/>
    <w:rsid w:val="001E6462"/>
    <w:rsid w:val="001F4A47"/>
    <w:rsid w:val="00210869"/>
    <w:rsid w:val="00212D41"/>
    <w:rsid w:val="00227D7E"/>
    <w:rsid w:val="00245DB0"/>
    <w:rsid w:val="002863E9"/>
    <w:rsid w:val="002A16D3"/>
    <w:rsid w:val="002F023B"/>
    <w:rsid w:val="00332475"/>
    <w:rsid w:val="00332E87"/>
    <w:rsid w:val="00343EF8"/>
    <w:rsid w:val="0039355A"/>
    <w:rsid w:val="004136CD"/>
    <w:rsid w:val="0044415C"/>
    <w:rsid w:val="00497BBE"/>
    <w:rsid w:val="004B1E55"/>
    <w:rsid w:val="004E656B"/>
    <w:rsid w:val="005319C6"/>
    <w:rsid w:val="0054340D"/>
    <w:rsid w:val="00547458"/>
    <w:rsid w:val="005704A7"/>
    <w:rsid w:val="0058583A"/>
    <w:rsid w:val="005B45FD"/>
    <w:rsid w:val="005D4F6E"/>
    <w:rsid w:val="00602783"/>
    <w:rsid w:val="00622AED"/>
    <w:rsid w:val="00632A2C"/>
    <w:rsid w:val="0066201D"/>
    <w:rsid w:val="006D3B25"/>
    <w:rsid w:val="007150E7"/>
    <w:rsid w:val="00735B66"/>
    <w:rsid w:val="00740055"/>
    <w:rsid w:val="0075346C"/>
    <w:rsid w:val="0077084B"/>
    <w:rsid w:val="0077260B"/>
    <w:rsid w:val="007B1556"/>
    <w:rsid w:val="007D5A28"/>
    <w:rsid w:val="00846B10"/>
    <w:rsid w:val="00864083"/>
    <w:rsid w:val="008771F9"/>
    <w:rsid w:val="00886144"/>
    <w:rsid w:val="0089471E"/>
    <w:rsid w:val="008B47FE"/>
    <w:rsid w:val="0092723F"/>
    <w:rsid w:val="00930EE3"/>
    <w:rsid w:val="009571DE"/>
    <w:rsid w:val="00971892"/>
    <w:rsid w:val="009E3B0F"/>
    <w:rsid w:val="009F6516"/>
    <w:rsid w:val="009F710E"/>
    <w:rsid w:val="00A13E63"/>
    <w:rsid w:val="00A2641A"/>
    <w:rsid w:val="00A33BBF"/>
    <w:rsid w:val="00A75984"/>
    <w:rsid w:val="00AA4426"/>
    <w:rsid w:val="00AB432D"/>
    <w:rsid w:val="00AB6B2B"/>
    <w:rsid w:val="00AD2789"/>
    <w:rsid w:val="00AE2C31"/>
    <w:rsid w:val="00AF31F9"/>
    <w:rsid w:val="00B35489"/>
    <w:rsid w:val="00BB3D31"/>
    <w:rsid w:val="00BB666A"/>
    <w:rsid w:val="00C3209A"/>
    <w:rsid w:val="00C6292B"/>
    <w:rsid w:val="00C77210"/>
    <w:rsid w:val="00C777FB"/>
    <w:rsid w:val="00C94EA4"/>
    <w:rsid w:val="00CB1502"/>
    <w:rsid w:val="00CC51FF"/>
    <w:rsid w:val="00CC5899"/>
    <w:rsid w:val="00CD6A94"/>
    <w:rsid w:val="00CD7083"/>
    <w:rsid w:val="00CE113B"/>
    <w:rsid w:val="00D012CE"/>
    <w:rsid w:val="00D15AB1"/>
    <w:rsid w:val="00D233E0"/>
    <w:rsid w:val="00D36213"/>
    <w:rsid w:val="00D420AC"/>
    <w:rsid w:val="00D54422"/>
    <w:rsid w:val="00D655CC"/>
    <w:rsid w:val="00D65972"/>
    <w:rsid w:val="00D71013"/>
    <w:rsid w:val="00D91D78"/>
    <w:rsid w:val="00DF354A"/>
    <w:rsid w:val="00E247E2"/>
    <w:rsid w:val="00E507EA"/>
    <w:rsid w:val="00E909B9"/>
    <w:rsid w:val="00EB6049"/>
    <w:rsid w:val="00F23387"/>
    <w:rsid w:val="00F27369"/>
    <w:rsid w:val="00F66557"/>
    <w:rsid w:val="00FE7C14"/>
    <w:rsid w:val="00FF72AA"/>
    <w:rsid w:val="01203FAE"/>
    <w:rsid w:val="04275653"/>
    <w:rsid w:val="07995B5F"/>
    <w:rsid w:val="0A776063"/>
    <w:rsid w:val="0ED168E7"/>
    <w:rsid w:val="0F2E3ECA"/>
    <w:rsid w:val="0F895414"/>
    <w:rsid w:val="0F9E7BCD"/>
    <w:rsid w:val="11E3705D"/>
    <w:rsid w:val="13135D2E"/>
    <w:rsid w:val="1537146E"/>
    <w:rsid w:val="19486FEA"/>
    <w:rsid w:val="1BFD6F6E"/>
    <w:rsid w:val="1C724E7C"/>
    <w:rsid w:val="1D5B3376"/>
    <w:rsid w:val="1E763007"/>
    <w:rsid w:val="1E845724"/>
    <w:rsid w:val="1E860877"/>
    <w:rsid w:val="1EE14925"/>
    <w:rsid w:val="21913F0E"/>
    <w:rsid w:val="226F2247"/>
    <w:rsid w:val="231D0935"/>
    <w:rsid w:val="2596493C"/>
    <w:rsid w:val="27F427F1"/>
    <w:rsid w:val="2A842C1B"/>
    <w:rsid w:val="2B193698"/>
    <w:rsid w:val="2E951288"/>
    <w:rsid w:val="2EC02441"/>
    <w:rsid w:val="2F6A44C2"/>
    <w:rsid w:val="31AB08CF"/>
    <w:rsid w:val="32843AED"/>
    <w:rsid w:val="330469DC"/>
    <w:rsid w:val="34056446"/>
    <w:rsid w:val="341E3ACD"/>
    <w:rsid w:val="37327BF5"/>
    <w:rsid w:val="387B0179"/>
    <w:rsid w:val="39504729"/>
    <w:rsid w:val="3CD236A7"/>
    <w:rsid w:val="3CE358B4"/>
    <w:rsid w:val="3F3142F6"/>
    <w:rsid w:val="418D57E2"/>
    <w:rsid w:val="46BC4C75"/>
    <w:rsid w:val="4BAA7CAA"/>
    <w:rsid w:val="4BF453E8"/>
    <w:rsid w:val="50011E81"/>
    <w:rsid w:val="53034162"/>
    <w:rsid w:val="54B1374E"/>
    <w:rsid w:val="54B54DB2"/>
    <w:rsid w:val="57106172"/>
    <w:rsid w:val="59E26240"/>
    <w:rsid w:val="5A366BCB"/>
    <w:rsid w:val="5E510679"/>
    <w:rsid w:val="600B28A8"/>
    <w:rsid w:val="60602BF4"/>
    <w:rsid w:val="60DB04CD"/>
    <w:rsid w:val="626B09A7"/>
    <w:rsid w:val="628030DA"/>
    <w:rsid w:val="678B7C05"/>
    <w:rsid w:val="69B8584F"/>
    <w:rsid w:val="6A1E55F6"/>
    <w:rsid w:val="6A617C95"/>
    <w:rsid w:val="6AEA1681"/>
    <w:rsid w:val="6DF204F3"/>
    <w:rsid w:val="6E537AD1"/>
    <w:rsid w:val="717C3606"/>
    <w:rsid w:val="72092D38"/>
    <w:rsid w:val="74A94712"/>
    <w:rsid w:val="751878CB"/>
    <w:rsid w:val="77EB5041"/>
    <w:rsid w:val="7ED956A6"/>
    <w:rsid w:val="B95C670B"/>
    <w:rsid w:val="FBFBE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7">
    <w:name w:val="页脚 字符"/>
    <w:link w:val="2"/>
    <w:semiHidden/>
    <w:qFormat/>
    <w:uiPriority w:val="99"/>
    <w:rPr>
      <w:sz w:val="18"/>
      <w:szCs w:val="18"/>
    </w:rPr>
  </w:style>
  <w:style w:type="character" w:customStyle="1" w:styleId="8">
    <w:name w:val="页眉 字符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438E3-DE3C-4E95-8AD2-61D44E79AB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2510</Words>
  <Characters>2793</Characters>
  <Lines>20</Lines>
  <Paragraphs>5</Paragraphs>
  <TotalTime>5</TotalTime>
  <ScaleCrop>false</ScaleCrop>
  <LinksUpToDate>false</LinksUpToDate>
  <CharactersWithSpaces>2877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2026-07-03T02:59:00Z</dcterms:created>
  <dc:creator>nucsoft</dc:creator>
  <cp:lastModifiedBy>WPS_1671339666</cp:lastModifiedBy>
  <cp:lastPrinted>2016-03-16T00:39:00Z</cp:lastPrinted>
  <dcterms:modified xsi:type="dcterms:W3CDTF">2026-07-06T14:15:44Z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FB15172283C8451C88D79E7C2A1F5EA1_13</vt:lpwstr>
  </property>
  <property fmtid="{D5CDD505-2E9C-101B-9397-08002B2CF9AE}" pid="4" name="KSOTemplateDocerSaveRecord">
    <vt:lpwstr>eyJoZGlkIjoiMDc0N2Y5YTg4MmNjODNlZDQ3Y2VkMWFjNzRiNzJkZDYiLCJ1c2VySWQiOiIxNDUwODcyNDg4In0=</vt:lpwstr>
  </property>
</Properties>
</file>