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7F2CAF">
      <w:pPr>
        <w:rPr>
          <w:rFonts w:hint="eastAsia" w:ascii="宋体" w:hAnsi="宋体"/>
          <w:color w:val="000000" w:themeColor="text1"/>
          <w:spacing w:val="40"/>
          <w:sz w:val="71"/>
          <w14:textFill>
            <w14:solidFill>
              <w14:schemeClr w14:val="tx1"/>
            </w14:solidFill>
          </w14:textFill>
        </w:rPr>
      </w:pPr>
    </w:p>
    <w:p w14:paraId="44947A85">
      <w:pPr>
        <w:jc w:val="center"/>
        <w:rPr>
          <w:rFonts w:hint="eastAsia" w:ascii="宋体" w:hAnsi="宋体"/>
          <w:spacing w:val="40"/>
          <w:sz w:val="71"/>
        </w:rPr>
      </w:pPr>
      <w:r>
        <w:rPr>
          <w:rFonts w:hint="eastAsia" w:ascii="Times New Roman" w:hAnsi="Times New Roman" w:eastAsia="华文中宋"/>
          <w:b/>
          <w:spacing w:val="40"/>
          <w:sz w:val="44"/>
        </w:rPr>
        <w:t xml:space="preserve"> </w:t>
      </w:r>
      <w:r>
        <w:rPr>
          <w:rFonts w:hint="eastAsia" w:ascii="Times New Roman" w:hAnsi="Times New Roman" w:eastAsia="华文中宋"/>
          <w:b/>
          <w:spacing w:val="40"/>
          <w:sz w:val="72"/>
          <w:szCs w:val="40"/>
        </w:rPr>
        <w:t>北京交通大学</w:t>
      </w:r>
    </w:p>
    <w:p w14:paraId="42ED3305">
      <w:pPr>
        <w:jc w:val="center"/>
        <w:rPr>
          <w:rFonts w:hint="eastAsia" w:ascii="宋体" w:hAnsi="宋体"/>
          <w:color w:val="FF0000"/>
          <w:spacing w:val="40"/>
          <w:sz w:val="30"/>
          <w:szCs w:val="30"/>
        </w:rPr>
      </w:pPr>
    </w:p>
    <w:p w14:paraId="6D329861">
      <w:pPr>
        <w:jc w:val="center"/>
        <w:rPr>
          <w:rFonts w:hint="eastAsia" w:ascii="黑体" w:hAnsi="黑体" w:eastAsia="黑体"/>
          <w:b/>
          <w:color w:val="000000" w:themeColor="text1"/>
          <w:spacing w:val="282"/>
          <w:sz w:val="93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华文中宋"/>
          <w:b/>
          <w:color w:val="000000" w:themeColor="text1"/>
          <w:spacing w:val="282"/>
          <w:sz w:val="56"/>
          <w14:textFill>
            <w14:solidFill>
              <w14:schemeClr w14:val="tx1"/>
            </w14:solidFill>
          </w14:textFill>
        </w:rPr>
        <w:t xml:space="preserve"> 实验报告</w:t>
      </w:r>
    </w:p>
    <w:p w14:paraId="18191896">
      <w:pPr>
        <w:rPr>
          <w:rFonts w:hint="eastAsia" w:ascii="黑体" w:hAnsi="黑体" w:eastAsia="黑体"/>
          <w:b/>
          <w:color w:val="000000" w:themeColor="text1"/>
          <w:spacing w:val="282"/>
          <w:sz w:val="93"/>
          <w14:textFill>
            <w14:solidFill>
              <w14:schemeClr w14:val="tx1"/>
            </w14:solidFill>
          </w14:textFill>
        </w:rPr>
      </w:pPr>
    </w:p>
    <w:tbl>
      <w:tblPr>
        <w:tblStyle w:val="32"/>
        <w:tblW w:w="638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6"/>
        <w:gridCol w:w="4434"/>
      </w:tblGrid>
      <w:tr w14:paraId="03E063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23A966">
            <w:pPr>
              <w:jc w:val="center"/>
              <w:rPr>
                <w:rFonts w:hint="eastAsia" w:ascii="宋体" w:hAnsi="宋体"/>
                <w:color w:val="000000" w:themeColor="text1"/>
                <w:sz w:val="3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仿宋"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专   业：</w:t>
            </w:r>
          </w:p>
        </w:tc>
        <w:tc>
          <w:tcPr>
            <w:tcW w:w="4434" w:type="dxa"/>
            <w:tcBorders>
              <w:bottom w:val="single" w:color="auto" w:sz="4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7BA99B">
            <w:pPr>
              <w:jc w:val="center"/>
              <w:rPr>
                <w:rFonts w:hint="eastAsia" w:ascii="宋体" w:hAnsi="宋体"/>
                <w:color w:val="000000" w:themeColor="text1"/>
                <w:sz w:val="3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仿宋"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软件工程</w:t>
            </w:r>
          </w:p>
        </w:tc>
      </w:tr>
      <w:tr w14:paraId="73265B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98BBF6">
            <w:pPr>
              <w:jc w:val="center"/>
              <w:rPr>
                <w:rFonts w:hint="eastAsia" w:ascii="宋体" w:hAnsi="宋体"/>
                <w:color w:val="000000" w:themeColor="text1"/>
                <w:sz w:val="3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仿宋"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课程名称：</w:t>
            </w:r>
          </w:p>
        </w:tc>
        <w:tc>
          <w:tcPr>
            <w:tcW w:w="4434" w:type="dxa"/>
            <w:tcBorders>
              <w:top w:val="single" w:color="auto" w:sz="4" w:space="0"/>
              <w:bottom w:val="single" w:color="auto" w:sz="4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B857AD">
            <w:pPr>
              <w:jc w:val="center"/>
              <w:rPr>
                <w:rFonts w:hint="eastAsia" w:ascii="宋体" w:hAnsi="宋体"/>
                <w:color w:val="000000" w:themeColor="text1"/>
                <w:sz w:val="3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仿宋"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计算机大类实训1</w:t>
            </w:r>
          </w:p>
        </w:tc>
      </w:tr>
      <w:tr w14:paraId="357F43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937DBC">
            <w:pPr>
              <w:jc w:val="center"/>
              <w:rPr>
                <w:rFonts w:hint="eastAsia" w:ascii="宋体" w:hAnsi="宋体"/>
                <w:color w:val="000000" w:themeColor="text1"/>
                <w:sz w:val="3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仿宋"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班   级：</w:t>
            </w:r>
          </w:p>
        </w:tc>
        <w:tc>
          <w:tcPr>
            <w:tcW w:w="4434" w:type="dxa"/>
            <w:tcBorders>
              <w:top w:val="single" w:color="auto" w:sz="4" w:space="0"/>
              <w:bottom w:val="single" w:color="auto" w:sz="4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E9F28A">
            <w:pPr>
              <w:jc w:val="center"/>
              <w:rPr>
                <w:rFonts w:hint="default" w:ascii="宋体" w:hAnsi="宋体" w:eastAsia="宋体"/>
                <w:color w:val="000000" w:themeColor="text1"/>
                <w:sz w:val="3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3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2503</w:t>
            </w:r>
          </w:p>
        </w:tc>
      </w:tr>
      <w:tr w14:paraId="04B50E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75BD42">
            <w:pPr>
              <w:jc w:val="center"/>
              <w:rPr>
                <w:rFonts w:hint="eastAsia" w:ascii="宋体" w:hAnsi="宋体"/>
                <w:color w:val="000000" w:themeColor="text1"/>
                <w:sz w:val="3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仿宋"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学   号：</w:t>
            </w:r>
          </w:p>
        </w:tc>
        <w:tc>
          <w:tcPr>
            <w:tcW w:w="4434" w:type="dxa"/>
            <w:tcBorders>
              <w:top w:val="single" w:color="auto" w:sz="4" w:space="0"/>
              <w:bottom w:val="single" w:color="auto" w:sz="4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E7D70D">
            <w:pPr>
              <w:jc w:val="center"/>
              <w:rPr>
                <w:rFonts w:hint="default" w:ascii="宋体" w:hAnsi="宋体" w:eastAsia="宋体"/>
                <w:color w:val="000000" w:themeColor="text1"/>
                <w:sz w:val="3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3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25531435</w:t>
            </w:r>
          </w:p>
        </w:tc>
      </w:tr>
      <w:tr w14:paraId="39BECD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EC2069">
            <w:pPr>
              <w:jc w:val="center"/>
              <w:rPr>
                <w:rFonts w:hint="eastAsia" w:ascii="宋体" w:hAnsi="宋体"/>
                <w:color w:val="000000" w:themeColor="text1"/>
                <w:sz w:val="3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仿宋"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姓   名：</w:t>
            </w:r>
          </w:p>
        </w:tc>
        <w:tc>
          <w:tcPr>
            <w:tcW w:w="4434" w:type="dxa"/>
            <w:tcBorders>
              <w:top w:val="single" w:color="auto" w:sz="4" w:space="0"/>
              <w:bottom w:val="single" w:color="auto" w:sz="4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939D3B">
            <w:pPr>
              <w:jc w:val="center"/>
              <w:rPr>
                <w:rFonts w:hint="eastAsia" w:ascii="宋体" w:hAnsi="宋体" w:eastAsia="宋体"/>
                <w:color w:val="000000" w:themeColor="text1"/>
                <w:sz w:val="3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3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陈锐泽</w:t>
            </w:r>
          </w:p>
        </w:tc>
      </w:tr>
      <w:tr w14:paraId="2203BF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B15E0D">
            <w:pPr>
              <w:jc w:val="center"/>
              <w:rPr>
                <w:rFonts w:hint="eastAsia" w:ascii="宋体" w:hAnsi="宋体"/>
                <w:color w:val="000000" w:themeColor="text1"/>
                <w:sz w:val="3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仿宋"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辅导教师：</w:t>
            </w:r>
          </w:p>
        </w:tc>
        <w:tc>
          <w:tcPr>
            <w:tcW w:w="4434" w:type="dxa"/>
            <w:tcBorders>
              <w:top w:val="single" w:color="auto" w:sz="4" w:space="0"/>
              <w:bottom w:val="single" w:color="auto" w:sz="4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9EDBFF">
            <w:pPr>
              <w:jc w:val="center"/>
              <w:rPr>
                <w:rFonts w:hint="eastAsia" w:ascii="宋体" w:hAnsi="宋体"/>
                <w:color w:val="000000" w:themeColor="text1"/>
                <w:sz w:val="3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仿宋"/>
                <w:color w:val="000000" w:themeColor="text1"/>
                <w:sz w:val="22"/>
                <w14:textFill>
                  <w14:solidFill>
                    <w14:schemeClr w14:val="tx1"/>
                  </w14:solidFill>
                </w14:textFill>
              </w:rPr>
              <w:t>付梓焱</w:t>
            </w:r>
          </w:p>
        </w:tc>
      </w:tr>
    </w:tbl>
    <w:p w14:paraId="48C902E7">
      <w:pPr>
        <w:jc w:val="left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00C1A863">
      <w:pPr>
        <w:jc w:val="both"/>
        <w:rPr>
          <w:color w:val="000000" w:themeColor="text1"/>
          <w:spacing w:val="30"/>
          <w:sz w:val="31"/>
          <w14:textFill>
            <w14:solidFill>
              <w14:schemeClr w14:val="tx1"/>
            </w14:solidFill>
          </w14:textFill>
        </w:rPr>
      </w:pPr>
      <w:bookmarkStart w:id="0" w:name="_GoBack"/>
      <w:bookmarkEnd w:id="0"/>
    </w:p>
    <w:p w14:paraId="3B008D88">
      <w:pPr>
        <w:jc w:val="center"/>
        <w:rPr>
          <w:color w:val="000000" w:themeColor="text1"/>
          <w:spacing w:val="30"/>
          <w:sz w:val="25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仿宋"/>
          <w:color w:val="000000" w:themeColor="text1"/>
          <w:spacing w:val="30"/>
          <w:sz w:val="22"/>
          <w14:textFill>
            <w14:solidFill>
              <w14:schemeClr w14:val="tx1"/>
            </w14:solidFill>
          </w14:textFill>
        </w:rPr>
        <w:t xml:space="preserve">            </w:t>
      </w:r>
    </w:p>
    <w:p w14:paraId="2B6A0374">
      <w:pPr>
        <w:ind w:firstLine="680" w:firstLineChars="200"/>
        <w:jc w:val="both"/>
        <w:rPr>
          <w:rFonts w:hint="eastAsia" w:ascii="仿宋" w:hAnsi="仿宋" w:eastAsia="仿宋" w:cs="仿宋"/>
          <w:b/>
          <w:color w:val="000000"/>
          <w:sz w:val="40"/>
        </w:rPr>
      </w:pPr>
      <w:r>
        <w:rPr>
          <w:rFonts w:hint="eastAsia" w:ascii="Times New Roman" w:hAnsi="Times New Roman" w:eastAsia="仿宋"/>
          <w:color w:val="000000" w:themeColor="text1"/>
          <w:spacing w:val="3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日期：7.15</w:t>
      </w:r>
      <w:r>
        <w:rPr>
          <w:rFonts w:hint="eastAsia" w:ascii="Times New Roman" w:hAnsi="Times New Roman" w:eastAsia="仿宋"/>
          <w:color w:val="000000" w:themeColor="text1"/>
          <w:spacing w:val="30"/>
          <w:sz w:val="28"/>
          <w:szCs w:val="28"/>
          <w14:textFill>
            <w14:solidFill>
              <w14:schemeClr w14:val="tx1"/>
            </w14:solidFill>
          </w14:textFill>
        </w:rPr>
        <w:t xml:space="preserve">                   </w:t>
      </w:r>
      <w:r>
        <w:rPr>
          <w:rFonts w:hint="eastAsia" w:ascii="Times New Roman" w:hAnsi="Times New Roman" w:eastAsia="仿宋"/>
          <w:color w:val="000000" w:themeColor="text1"/>
          <w:spacing w:val="3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</w:t>
      </w:r>
      <w:r>
        <w:rPr>
          <w:rFonts w:hint="eastAsia" w:ascii="Times New Roman" w:hAnsi="Times New Roman" w:eastAsia="仿宋"/>
          <w:color w:val="000000" w:themeColor="text1"/>
          <w:spacing w:val="30"/>
          <w:sz w:val="28"/>
          <w:szCs w:val="28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仿宋"/>
          <w:color w:val="000000" w:themeColor="text1"/>
          <w:spacing w:val="3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 xml:space="preserve">          </w:t>
      </w:r>
      <w:r>
        <w:rPr>
          <w:rFonts w:hint="eastAsia" w:ascii="Times New Roman" w:hAnsi="Times New Roman" w:eastAsia="仿宋"/>
          <w:color w:val="000000" w:themeColor="text1"/>
          <w:spacing w:val="30"/>
          <w:sz w:val="28"/>
          <w:szCs w:val="28"/>
          <w14:textFill>
            <w14:solidFill>
              <w14:schemeClr w14:val="tx1"/>
            </w14:solidFill>
          </w14:textFill>
        </w:rPr>
        <w:t>成绩：</w:t>
      </w:r>
      <w:r>
        <w:rPr>
          <w:rFonts w:hint="eastAsia" w:ascii="Times New Roman" w:hAnsi="Times New Roman" w:eastAsia="仿宋"/>
          <w:color w:val="000000" w:themeColor="text1"/>
          <w:spacing w:val="30"/>
          <w:sz w:val="28"/>
          <w:szCs w:val="28"/>
          <w:u w:val="single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仿宋"/>
          <w:color w:val="000000" w:themeColor="text1"/>
          <w:spacing w:val="30"/>
          <w:sz w:val="28"/>
          <w:szCs w:val="28"/>
          <w:u w:val="single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hint="eastAsia" w:ascii="Times New Roman" w:hAnsi="Times New Roman" w:eastAsia="仿宋"/>
          <w:color w:val="000000" w:themeColor="text1"/>
          <w:spacing w:val="30"/>
          <w:sz w:val="28"/>
          <w:szCs w:val="28"/>
          <w:u w:val="single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仿宋"/>
          <w:color w:val="000000" w:themeColor="text1"/>
          <w:spacing w:val="30"/>
          <w:sz w:val="22"/>
          <w:u w:val="single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仿宋"/>
          <w:color w:val="000000" w:themeColor="text1"/>
          <w:spacing w:val="30"/>
          <w:sz w:val="22"/>
          <w14:textFill>
            <w14:solidFill>
              <w14:schemeClr w14:val="tx1"/>
            </w14:solidFill>
          </w14:textFill>
        </w:rPr>
        <w:t xml:space="preserve">     </w:t>
      </w:r>
    </w:p>
    <w:p w14:paraId="311805D2">
      <w:pPr>
        <w:spacing w:after="80"/>
        <w:jc w:val="center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b/>
          <w:color w:val="000000"/>
          <w:sz w:val="40"/>
        </w:rPr>
        <w:t>智能厨房安全监测与报警系统实验报告</w:t>
      </w:r>
    </w:p>
    <w:p w14:paraId="290B13B3">
      <w:pPr>
        <w:spacing w:after="240"/>
        <w:jc w:val="center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color w:val="555555"/>
          <w:sz w:val="22"/>
        </w:rPr>
        <w:t>综合场景实验：基于 STM32F407 的多传感器联动设计</w:t>
      </w:r>
    </w:p>
    <w:tbl>
      <w:tblPr>
        <w:tblStyle w:val="32"/>
        <w:tblW w:w="0" w:type="auto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2"/>
        <w:gridCol w:w="2412"/>
        <w:gridCol w:w="2412"/>
        <w:gridCol w:w="2412"/>
      </w:tblGrid>
      <w:tr w14:paraId="36C5ED5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12" w:type="dxa"/>
            <w:shd w:val="clear" w:color="auto" w:fill="F2F4F7"/>
            <w:vAlign w:val="center"/>
          </w:tcPr>
          <w:p w14:paraId="2483F91B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/>
                <w:color w:val="1F4D78"/>
                <w:sz w:val="21"/>
              </w:rPr>
              <w:t>实验平台</w:t>
            </w:r>
          </w:p>
        </w:tc>
        <w:tc>
          <w:tcPr>
            <w:tcW w:w="2412" w:type="dxa"/>
            <w:vAlign w:val="center"/>
          </w:tcPr>
          <w:p w14:paraId="09FADF90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青软集团智能物联鸿蒙全场景实验箱</w:t>
            </w:r>
          </w:p>
        </w:tc>
        <w:tc>
          <w:tcPr>
            <w:tcW w:w="2412" w:type="dxa"/>
            <w:shd w:val="clear" w:color="auto" w:fill="F2F4F7"/>
            <w:vAlign w:val="center"/>
          </w:tcPr>
          <w:p w14:paraId="4FCFA930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/>
                <w:color w:val="1F4D78"/>
                <w:sz w:val="21"/>
              </w:rPr>
              <w:t>开发环境</w:t>
            </w:r>
          </w:p>
        </w:tc>
        <w:tc>
          <w:tcPr>
            <w:tcW w:w="2412" w:type="dxa"/>
            <w:vAlign w:val="center"/>
          </w:tcPr>
          <w:p w14:paraId="7FA5DAC0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Keil uVision5</w:t>
            </w:r>
          </w:p>
        </w:tc>
      </w:tr>
      <w:tr w14:paraId="293A7F1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12" w:type="dxa"/>
            <w:shd w:val="clear" w:color="auto" w:fill="F2F4F7"/>
            <w:vAlign w:val="center"/>
          </w:tcPr>
          <w:p w14:paraId="4D948953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/>
                <w:color w:val="1F4D78"/>
                <w:sz w:val="21"/>
              </w:rPr>
              <w:t>主控芯片</w:t>
            </w:r>
          </w:p>
        </w:tc>
        <w:tc>
          <w:tcPr>
            <w:tcW w:w="2412" w:type="dxa"/>
            <w:vAlign w:val="center"/>
          </w:tcPr>
          <w:p w14:paraId="6596574C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STM32F407</w:t>
            </w:r>
          </w:p>
        </w:tc>
        <w:tc>
          <w:tcPr>
            <w:tcW w:w="2412" w:type="dxa"/>
            <w:shd w:val="clear" w:color="auto" w:fill="F2F4F7"/>
            <w:vAlign w:val="center"/>
          </w:tcPr>
          <w:p w14:paraId="0045B0C6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/>
                <w:color w:val="1F4D78"/>
                <w:sz w:val="21"/>
              </w:rPr>
              <w:t>串口工具</w:t>
            </w:r>
          </w:p>
        </w:tc>
        <w:tc>
          <w:tcPr>
            <w:tcW w:w="2412" w:type="dxa"/>
            <w:vAlign w:val="center"/>
          </w:tcPr>
          <w:p w14:paraId="6AC3A948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QCOM_V1.6</w:t>
            </w:r>
          </w:p>
        </w:tc>
      </w:tr>
      <w:tr w14:paraId="7BE60D7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12" w:type="dxa"/>
            <w:shd w:val="clear" w:color="auto" w:fill="F2F4F7"/>
            <w:vAlign w:val="center"/>
          </w:tcPr>
          <w:p w14:paraId="404850E1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/>
                <w:color w:val="1F4D78"/>
                <w:sz w:val="21"/>
              </w:rPr>
              <w:t>实验类型</w:t>
            </w:r>
          </w:p>
        </w:tc>
        <w:tc>
          <w:tcPr>
            <w:tcW w:w="2412" w:type="dxa"/>
            <w:vAlign w:val="center"/>
          </w:tcPr>
          <w:p w14:paraId="735A868A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综合场景实验</w:t>
            </w:r>
          </w:p>
        </w:tc>
        <w:tc>
          <w:tcPr>
            <w:tcW w:w="2412" w:type="dxa"/>
            <w:shd w:val="clear" w:color="auto" w:fill="F2F4F7"/>
            <w:vAlign w:val="center"/>
          </w:tcPr>
          <w:p w14:paraId="38AEA10A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/>
                <w:color w:val="1F4D78"/>
                <w:sz w:val="21"/>
              </w:rPr>
              <w:t>应用场景</w:t>
            </w:r>
          </w:p>
        </w:tc>
        <w:tc>
          <w:tcPr>
            <w:tcW w:w="2412" w:type="dxa"/>
            <w:vAlign w:val="center"/>
          </w:tcPr>
          <w:p w14:paraId="6A96D7B2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厨房安全监测与报警</w:t>
            </w:r>
          </w:p>
        </w:tc>
      </w:tr>
    </w:tbl>
    <w:p w14:paraId="3B3FB227">
      <w:pPr>
        <w:pStyle w:val="3"/>
        <w:spacing w:before="280" w:after="14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b/>
          <w:color w:val="2E74B5"/>
          <w:sz w:val="32"/>
        </w:rPr>
        <w:t>一、实验场景与背景</w:t>
      </w:r>
    </w:p>
    <w:p w14:paraId="61D5F92E">
      <w:pPr>
        <w:spacing w:after="120" w:line="288" w:lineRule="auto"/>
        <w:ind w:firstLine="42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sz w:val="21"/>
        </w:rPr>
        <w:t>本次综合场景实验设想的是家庭厨房安全监测与报警场景。厨房中经常存在燃气灶、热源、油烟和密闭空间等因素，如果出现燃气泄漏、烟雾浓度升高或温度异常，而人员没有及时发现，可能会造成安全隐患。</w:t>
      </w:r>
    </w:p>
    <w:p w14:paraId="090A884C">
      <w:pPr>
        <w:spacing w:after="120" w:line="288" w:lineRule="auto"/>
        <w:ind w:firstLine="42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sz w:val="21"/>
        </w:rPr>
        <w:t>因此，本项目设计了一个基于 STM32F407 的智能厨房安全监测与报警系统。系统通过温湿度传感器和燃气/烟雾传感器采集厨房环境信息，再结合 LCD 显示、串口输出、蜂鸣器和 LED 声光报警，实现对厨房环境的实时监测和异常提醒。</w:t>
      </w:r>
    </w:p>
    <w:p w14:paraId="43B5384C">
      <w:pPr>
        <w:spacing w:after="120" w:line="288" w:lineRule="auto"/>
        <w:ind w:firstLine="42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sz w:val="21"/>
        </w:rPr>
        <w:t>本实验不是对之前单个基础实验的简单重复，而是在已有外设驱动基础上，围绕“厨房报警”这一具体应用场景，将多个传感器和外设进行联动，形成一个完整的小型物联网应用系统。</w:t>
      </w:r>
    </w:p>
    <w:p w14:paraId="2C90BCF4">
      <w:pPr>
        <w:pStyle w:val="3"/>
        <w:spacing w:before="280" w:after="14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b/>
          <w:color w:val="2E74B5"/>
          <w:sz w:val="32"/>
        </w:rPr>
        <w:t>二、项目功能设计</w:t>
      </w:r>
    </w:p>
    <w:p w14:paraId="5CCF6FF3">
      <w:pPr>
        <w:spacing w:after="80" w:line="276" w:lineRule="auto"/>
        <w:ind w:left="360" w:hanging="23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sz w:val="21"/>
        </w:rPr>
        <w:t>• 温湿度检测功能：使用 DHT11 温湿度传感器采集厨房环境温度和湿度，用于判断环境温度是否异常。</w:t>
      </w:r>
    </w:p>
    <w:p w14:paraId="2D9E8CBF">
      <w:pPr>
        <w:spacing w:after="80" w:line="276" w:lineRule="auto"/>
        <w:ind w:left="360" w:hanging="23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sz w:val="21"/>
        </w:rPr>
        <w:t>• 燃气/烟雾检测功能：使用 MQ 系列燃气/烟雾传感器采集空气中的可燃气体或烟雾浓度变化。</w:t>
      </w:r>
    </w:p>
    <w:p w14:paraId="3F7CF67C">
      <w:pPr>
        <w:spacing w:after="80" w:line="276" w:lineRule="auto"/>
        <w:ind w:left="360" w:hanging="23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sz w:val="21"/>
        </w:rPr>
        <w:t>• LCD 状态显示功能：通过 ILI9341 LCD 液晶屏显示系统名称、温度、湿度、MQ 检测值以及当前状态。</w:t>
      </w:r>
    </w:p>
    <w:p w14:paraId="5586C1E3">
      <w:pPr>
        <w:spacing w:after="80" w:line="276" w:lineRule="auto"/>
        <w:ind w:left="360" w:hanging="23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sz w:val="21"/>
        </w:rPr>
        <w:t>• 串口监测功能：通过 USART2 将实时数据和报警信息发送到电脑端，在 QCOM_V1.6 中进行观察和调试。</w:t>
      </w:r>
    </w:p>
    <w:p w14:paraId="60162EF8">
      <w:pPr>
        <w:spacing w:after="80" w:line="276" w:lineRule="auto"/>
        <w:ind w:left="360" w:hanging="23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sz w:val="21"/>
        </w:rPr>
        <w:t>• 声光报警功能：当温度或 MQ 检测值超过设定阈值时，系统控制 PA8 蜂鸣器鸣响，并点亮 PB5、PB0、PB1 三个 LED，实现异常状态提醒。</w:t>
      </w:r>
    </w:p>
    <w:p w14:paraId="7C5B2794">
      <w:pPr>
        <w:spacing w:after="80" w:line="276" w:lineRule="auto"/>
        <w:ind w:left="360" w:hanging="23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sz w:val="21"/>
        </w:rPr>
        <w:t>• 安全状态恢复功能：当检测值低于阈值时，系统关闭蜂鸣器和 LED，LCD 显示安全状态，串口继续输出实时检测数据。</w:t>
      </w:r>
    </w:p>
    <w:p w14:paraId="73F6066C">
      <w:pPr>
        <w:pStyle w:val="3"/>
        <w:spacing w:before="280" w:after="14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b/>
          <w:color w:val="2E74B5"/>
          <w:sz w:val="32"/>
        </w:rPr>
        <w:t>三、使用硬件与软件环境</w:t>
      </w:r>
    </w:p>
    <w:tbl>
      <w:tblPr>
        <w:tblStyle w:val="32"/>
        <w:tblW w:w="0" w:type="auto"/>
        <w:jc w:val="center"/>
        <w:tblBorders>
          <w:top w:val="single" w:color="BFBFBF" w:sz="8" w:space="0"/>
          <w:left w:val="single" w:color="BFBFBF" w:sz="8" w:space="0"/>
          <w:bottom w:val="single" w:color="BFBFBF" w:sz="8" w:space="0"/>
          <w:right w:val="single" w:color="BFBFBF" w:sz="8" w:space="0"/>
          <w:insideH w:val="single" w:color="BFBFBF" w:sz="8" w:space="0"/>
          <w:insideV w:val="single" w:color="BFBFBF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6"/>
        <w:gridCol w:w="3216"/>
        <w:gridCol w:w="3216"/>
      </w:tblGrid>
      <w:tr w14:paraId="532A3875">
        <w:tblPrEx>
          <w:tblBorders>
            <w:top w:val="single" w:color="BFBFBF" w:sz="8" w:space="0"/>
            <w:left w:val="single" w:color="BFBFBF" w:sz="8" w:space="0"/>
            <w:bottom w:val="single" w:color="BFBFBF" w:sz="8" w:space="0"/>
            <w:right w:val="single" w:color="BFBFBF" w:sz="8" w:space="0"/>
            <w:insideH w:val="single" w:color="BFBFBF" w:sz="8" w:space="0"/>
            <w:insideV w:val="single" w:color="BFBFB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E8EEF5"/>
          </w:tcPr>
          <w:p w14:paraId="16FCB8D6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/>
                <w:color w:val="1F4D78"/>
                <w:sz w:val="21"/>
              </w:rPr>
              <w:t>类别</w:t>
            </w:r>
          </w:p>
        </w:tc>
        <w:tc>
          <w:tcPr>
            <w:tcW w:w="3216" w:type="dxa"/>
            <w:shd w:val="clear" w:color="auto" w:fill="E8EEF5"/>
          </w:tcPr>
          <w:p w14:paraId="0ECF1D3E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/>
                <w:color w:val="1F4D78"/>
                <w:sz w:val="21"/>
              </w:rPr>
              <w:t>名称</w:t>
            </w:r>
          </w:p>
        </w:tc>
        <w:tc>
          <w:tcPr>
            <w:tcW w:w="3216" w:type="dxa"/>
            <w:shd w:val="clear" w:color="auto" w:fill="E8EEF5"/>
          </w:tcPr>
          <w:p w14:paraId="561A38CF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/>
                <w:color w:val="1F4D78"/>
                <w:sz w:val="21"/>
              </w:rPr>
              <w:t>作用</w:t>
            </w:r>
          </w:p>
        </w:tc>
      </w:tr>
      <w:tr w14:paraId="36803A30">
        <w:tblPrEx>
          <w:tblBorders>
            <w:top w:val="single" w:color="BFBFBF" w:sz="8" w:space="0"/>
            <w:left w:val="single" w:color="BFBFBF" w:sz="8" w:space="0"/>
            <w:bottom w:val="single" w:color="BFBFBF" w:sz="8" w:space="0"/>
            <w:right w:val="single" w:color="BFBFBF" w:sz="8" w:space="0"/>
            <w:insideH w:val="single" w:color="BFBFBF" w:sz="8" w:space="0"/>
            <w:insideV w:val="single" w:color="BFBFB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vAlign w:val="center"/>
          </w:tcPr>
          <w:p w14:paraId="3FC08642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主控模块</w:t>
            </w:r>
          </w:p>
        </w:tc>
        <w:tc>
          <w:tcPr>
            <w:tcW w:w="3216" w:type="dxa"/>
            <w:vAlign w:val="center"/>
          </w:tcPr>
          <w:p w14:paraId="094E4196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STM32F407 开发板</w:t>
            </w:r>
          </w:p>
        </w:tc>
        <w:tc>
          <w:tcPr>
            <w:tcW w:w="3216" w:type="dxa"/>
            <w:vAlign w:val="center"/>
          </w:tcPr>
          <w:p w14:paraId="279B9595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负责传感器数据采集、状态判断和外设控制</w:t>
            </w:r>
          </w:p>
        </w:tc>
      </w:tr>
      <w:tr w14:paraId="5510FB64">
        <w:tblPrEx>
          <w:tblBorders>
            <w:top w:val="single" w:color="BFBFBF" w:sz="8" w:space="0"/>
            <w:left w:val="single" w:color="BFBFBF" w:sz="8" w:space="0"/>
            <w:bottom w:val="single" w:color="BFBFBF" w:sz="8" w:space="0"/>
            <w:right w:val="single" w:color="BFBFBF" w:sz="8" w:space="0"/>
            <w:insideH w:val="single" w:color="BFBFBF" w:sz="8" w:space="0"/>
            <w:insideV w:val="single" w:color="BFBFB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vAlign w:val="center"/>
          </w:tcPr>
          <w:p w14:paraId="74C4FBB2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温湿度传感器</w:t>
            </w:r>
          </w:p>
        </w:tc>
        <w:tc>
          <w:tcPr>
            <w:tcW w:w="3216" w:type="dxa"/>
            <w:vAlign w:val="center"/>
          </w:tcPr>
          <w:p w14:paraId="411EFAED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DHT11</w:t>
            </w:r>
          </w:p>
        </w:tc>
        <w:tc>
          <w:tcPr>
            <w:tcW w:w="3216" w:type="dxa"/>
            <w:vAlign w:val="center"/>
          </w:tcPr>
          <w:p w14:paraId="7FA0B480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采集厨房环境温度和湿度</w:t>
            </w:r>
          </w:p>
        </w:tc>
      </w:tr>
      <w:tr w14:paraId="4B7D7D74">
        <w:tblPrEx>
          <w:tblBorders>
            <w:top w:val="single" w:color="BFBFBF" w:sz="8" w:space="0"/>
            <w:left w:val="single" w:color="BFBFBF" w:sz="8" w:space="0"/>
            <w:bottom w:val="single" w:color="BFBFBF" w:sz="8" w:space="0"/>
            <w:right w:val="single" w:color="BFBFBF" w:sz="8" w:space="0"/>
            <w:insideH w:val="single" w:color="BFBFBF" w:sz="8" w:space="0"/>
            <w:insideV w:val="single" w:color="BFBFB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vAlign w:val="center"/>
          </w:tcPr>
          <w:p w14:paraId="701DD561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燃气/烟雾传感器</w:t>
            </w:r>
          </w:p>
        </w:tc>
        <w:tc>
          <w:tcPr>
            <w:tcW w:w="3216" w:type="dxa"/>
            <w:vAlign w:val="center"/>
          </w:tcPr>
          <w:p w14:paraId="5AA5E017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MQ 系列传感器</w:t>
            </w:r>
          </w:p>
        </w:tc>
        <w:tc>
          <w:tcPr>
            <w:tcW w:w="3216" w:type="dxa"/>
            <w:vAlign w:val="center"/>
          </w:tcPr>
          <w:p w14:paraId="7752900A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检测燃气、烟雾等气体浓度变化</w:t>
            </w:r>
          </w:p>
        </w:tc>
      </w:tr>
      <w:tr w14:paraId="2D28917F">
        <w:tblPrEx>
          <w:tblBorders>
            <w:top w:val="single" w:color="BFBFBF" w:sz="8" w:space="0"/>
            <w:left w:val="single" w:color="BFBFBF" w:sz="8" w:space="0"/>
            <w:bottom w:val="single" w:color="BFBFBF" w:sz="8" w:space="0"/>
            <w:right w:val="single" w:color="BFBFBF" w:sz="8" w:space="0"/>
            <w:insideH w:val="single" w:color="BFBFBF" w:sz="8" w:space="0"/>
            <w:insideV w:val="single" w:color="BFBFB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vAlign w:val="center"/>
          </w:tcPr>
          <w:p w14:paraId="21637241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显示模块</w:t>
            </w:r>
          </w:p>
        </w:tc>
        <w:tc>
          <w:tcPr>
            <w:tcW w:w="3216" w:type="dxa"/>
            <w:vAlign w:val="center"/>
          </w:tcPr>
          <w:p w14:paraId="3FD03BB7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ILI9341 LCD 液晶屏</w:t>
            </w:r>
          </w:p>
        </w:tc>
        <w:tc>
          <w:tcPr>
            <w:tcW w:w="3216" w:type="dxa"/>
            <w:vAlign w:val="center"/>
          </w:tcPr>
          <w:p w14:paraId="3908C770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显示实时数据和系统状态</w:t>
            </w:r>
          </w:p>
        </w:tc>
      </w:tr>
      <w:tr w14:paraId="0C44CE66">
        <w:tblPrEx>
          <w:tblBorders>
            <w:top w:val="single" w:color="BFBFBF" w:sz="8" w:space="0"/>
            <w:left w:val="single" w:color="BFBFBF" w:sz="8" w:space="0"/>
            <w:bottom w:val="single" w:color="BFBFBF" w:sz="8" w:space="0"/>
            <w:right w:val="single" w:color="BFBFBF" w:sz="8" w:space="0"/>
            <w:insideH w:val="single" w:color="BFBFBF" w:sz="8" w:space="0"/>
            <w:insideV w:val="single" w:color="BFBFB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vAlign w:val="center"/>
          </w:tcPr>
          <w:p w14:paraId="27751EC7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报警模块</w:t>
            </w:r>
          </w:p>
        </w:tc>
        <w:tc>
          <w:tcPr>
            <w:tcW w:w="3216" w:type="dxa"/>
            <w:vAlign w:val="center"/>
          </w:tcPr>
          <w:p w14:paraId="739BF9BD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PA8 蜂鸣器</w:t>
            </w:r>
          </w:p>
        </w:tc>
        <w:tc>
          <w:tcPr>
            <w:tcW w:w="3216" w:type="dxa"/>
            <w:vAlign w:val="center"/>
          </w:tcPr>
          <w:p w14:paraId="2ACFCF0E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异常情况下进行声音报警</w:t>
            </w:r>
          </w:p>
        </w:tc>
      </w:tr>
      <w:tr w14:paraId="6E25DAAB">
        <w:tblPrEx>
          <w:tblBorders>
            <w:top w:val="single" w:color="BFBFBF" w:sz="8" w:space="0"/>
            <w:left w:val="single" w:color="BFBFBF" w:sz="8" w:space="0"/>
            <w:bottom w:val="single" w:color="BFBFBF" w:sz="8" w:space="0"/>
            <w:right w:val="single" w:color="BFBFBF" w:sz="8" w:space="0"/>
            <w:insideH w:val="single" w:color="BFBFBF" w:sz="8" w:space="0"/>
            <w:insideV w:val="single" w:color="BFBFB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vAlign w:val="center"/>
          </w:tcPr>
          <w:p w14:paraId="21D9DB1D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指示模块</w:t>
            </w:r>
          </w:p>
        </w:tc>
        <w:tc>
          <w:tcPr>
            <w:tcW w:w="3216" w:type="dxa"/>
            <w:vAlign w:val="center"/>
          </w:tcPr>
          <w:p w14:paraId="6E94E91C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PB5、PB0、PB1 LED</w:t>
            </w:r>
          </w:p>
        </w:tc>
        <w:tc>
          <w:tcPr>
            <w:tcW w:w="3216" w:type="dxa"/>
            <w:vAlign w:val="center"/>
          </w:tcPr>
          <w:p w14:paraId="17439148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异常情况下进行灯光提示</w:t>
            </w:r>
          </w:p>
        </w:tc>
      </w:tr>
      <w:tr w14:paraId="7E28D13C">
        <w:tblPrEx>
          <w:tblBorders>
            <w:top w:val="single" w:color="BFBFBF" w:sz="8" w:space="0"/>
            <w:left w:val="single" w:color="BFBFBF" w:sz="8" w:space="0"/>
            <w:bottom w:val="single" w:color="BFBFBF" w:sz="8" w:space="0"/>
            <w:right w:val="single" w:color="BFBFBF" w:sz="8" w:space="0"/>
            <w:insideH w:val="single" w:color="BFBFBF" w:sz="8" w:space="0"/>
            <w:insideV w:val="single" w:color="BFBFB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vAlign w:val="center"/>
          </w:tcPr>
          <w:p w14:paraId="3C018D35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串口通信</w:t>
            </w:r>
          </w:p>
        </w:tc>
        <w:tc>
          <w:tcPr>
            <w:tcW w:w="3216" w:type="dxa"/>
            <w:vAlign w:val="center"/>
          </w:tcPr>
          <w:p w14:paraId="03D99B1F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USART2 + QCOM_V1.6</w:t>
            </w:r>
          </w:p>
        </w:tc>
        <w:tc>
          <w:tcPr>
            <w:tcW w:w="3216" w:type="dxa"/>
            <w:vAlign w:val="center"/>
          </w:tcPr>
          <w:p w14:paraId="79725FD0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在电脑端观察实时数据和报警日志</w:t>
            </w:r>
          </w:p>
        </w:tc>
      </w:tr>
      <w:tr w14:paraId="26FDD59F">
        <w:tblPrEx>
          <w:tblBorders>
            <w:top w:val="single" w:color="BFBFBF" w:sz="8" w:space="0"/>
            <w:left w:val="single" w:color="BFBFBF" w:sz="8" w:space="0"/>
            <w:bottom w:val="single" w:color="BFBFBF" w:sz="8" w:space="0"/>
            <w:right w:val="single" w:color="BFBFBF" w:sz="8" w:space="0"/>
            <w:insideH w:val="single" w:color="BFBFBF" w:sz="8" w:space="0"/>
            <w:insideV w:val="single" w:color="BFBFB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vAlign w:val="center"/>
          </w:tcPr>
          <w:p w14:paraId="6E4E6BDB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开发软件</w:t>
            </w:r>
          </w:p>
        </w:tc>
        <w:tc>
          <w:tcPr>
            <w:tcW w:w="3216" w:type="dxa"/>
            <w:vAlign w:val="center"/>
          </w:tcPr>
          <w:p w14:paraId="03CADA46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Keil uVision5</w:t>
            </w:r>
          </w:p>
        </w:tc>
        <w:tc>
          <w:tcPr>
            <w:tcW w:w="3216" w:type="dxa"/>
            <w:vAlign w:val="center"/>
          </w:tcPr>
          <w:p w14:paraId="013E59B6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完成代码编写、编译和下载</w:t>
            </w:r>
          </w:p>
        </w:tc>
      </w:tr>
    </w:tbl>
    <w:p w14:paraId="3805CA45">
      <w:pPr>
        <w:pStyle w:val="3"/>
        <w:spacing w:before="280" w:after="14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b/>
          <w:color w:val="2E74B5"/>
          <w:sz w:val="32"/>
        </w:rPr>
        <w:t>四、项目用到的代码文件</w:t>
      </w:r>
    </w:p>
    <w:p w14:paraId="6A7381B3">
      <w:pPr>
        <w:spacing w:after="120" w:line="288" w:lineRule="auto"/>
        <w:ind w:firstLine="42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sz w:val="21"/>
        </w:rPr>
        <w:t>本项目在基础模板工程上进行整合开发，主要使用 USER、BSP、UTILS 等目录中的文件。各文件作用如下。</w:t>
      </w:r>
    </w:p>
    <w:tbl>
      <w:tblPr>
        <w:tblStyle w:val="32"/>
        <w:tblW w:w="0" w:type="auto"/>
        <w:jc w:val="center"/>
        <w:tblBorders>
          <w:top w:val="single" w:color="BFBFBF" w:sz="8" w:space="0"/>
          <w:left w:val="single" w:color="BFBFBF" w:sz="8" w:space="0"/>
          <w:bottom w:val="single" w:color="BFBFBF" w:sz="8" w:space="0"/>
          <w:right w:val="single" w:color="BFBFBF" w:sz="8" w:space="0"/>
          <w:insideH w:val="single" w:color="BFBFBF" w:sz="8" w:space="0"/>
          <w:insideV w:val="single" w:color="BFBFBF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6"/>
        <w:gridCol w:w="3216"/>
        <w:gridCol w:w="3216"/>
      </w:tblGrid>
      <w:tr w14:paraId="39676E8B">
        <w:tblPrEx>
          <w:tblBorders>
            <w:top w:val="single" w:color="BFBFBF" w:sz="8" w:space="0"/>
            <w:left w:val="single" w:color="BFBFBF" w:sz="8" w:space="0"/>
            <w:bottom w:val="single" w:color="BFBFBF" w:sz="8" w:space="0"/>
            <w:right w:val="single" w:color="BFBFBF" w:sz="8" w:space="0"/>
            <w:insideH w:val="single" w:color="BFBFBF" w:sz="8" w:space="0"/>
            <w:insideV w:val="single" w:color="BFBFB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shd w:val="clear" w:color="auto" w:fill="E8EEF5"/>
          </w:tcPr>
          <w:p w14:paraId="0FB2CC6A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/>
                <w:color w:val="1F4D78"/>
                <w:sz w:val="21"/>
              </w:rPr>
              <w:t>文件名</w:t>
            </w:r>
          </w:p>
        </w:tc>
        <w:tc>
          <w:tcPr>
            <w:tcW w:w="3216" w:type="dxa"/>
            <w:shd w:val="clear" w:color="auto" w:fill="E8EEF5"/>
          </w:tcPr>
          <w:p w14:paraId="4BE4047A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/>
                <w:color w:val="1F4D78"/>
                <w:sz w:val="21"/>
              </w:rPr>
              <w:t>所属模块</w:t>
            </w:r>
          </w:p>
        </w:tc>
        <w:tc>
          <w:tcPr>
            <w:tcW w:w="3216" w:type="dxa"/>
            <w:shd w:val="clear" w:color="auto" w:fill="E8EEF5"/>
          </w:tcPr>
          <w:p w14:paraId="5F5C40CD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/>
                <w:color w:val="1F4D78"/>
                <w:sz w:val="21"/>
              </w:rPr>
              <w:t>主要作用</w:t>
            </w:r>
          </w:p>
        </w:tc>
      </w:tr>
      <w:tr w14:paraId="7D6136B3">
        <w:tblPrEx>
          <w:tblBorders>
            <w:top w:val="single" w:color="BFBFBF" w:sz="8" w:space="0"/>
            <w:left w:val="single" w:color="BFBFBF" w:sz="8" w:space="0"/>
            <w:bottom w:val="single" w:color="BFBFBF" w:sz="8" w:space="0"/>
            <w:right w:val="single" w:color="BFBFBF" w:sz="8" w:space="0"/>
            <w:insideH w:val="single" w:color="BFBFBF" w:sz="8" w:space="0"/>
            <w:insideV w:val="single" w:color="BFBFB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vAlign w:val="center"/>
          </w:tcPr>
          <w:p w14:paraId="01BE0872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main.c</w:t>
            </w:r>
          </w:p>
        </w:tc>
        <w:tc>
          <w:tcPr>
            <w:tcW w:w="3216" w:type="dxa"/>
            <w:vAlign w:val="center"/>
          </w:tcPr>
          <w:p w14:paraId="487277FC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USER</w:t>
            </w:r>
          </w:p>
        </w:tc>
        <w:tc>
          <w:tcPr>
            <w:tcW w:w="3216" w:type="dxa"/>
            <w:vAlign w:val="center"/>
          </w:tcPr>
          <w:p w14:paraId="2D308B3F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编写综合场景主逻辑，包括初始化、数据采集、阈值判断、LCD 显示、串口输出和报警控制</w:t>
            </w:r>
          </w:p>
        </w:tc>
      </w:tr>
      <w:tr w14:paraId="551037C4">
        <w:tblPrEx>
          <w:tblBorders>
            <w:top w:val="single" w:color="BFBFBF" w:sz="8" w:space="0"/>
            <w:left w:val="single" w:color="BFBFBF" w:sz="8" w:space="0"/>
            <w:bottom w:val="single" w:color="BFBFBF" w:sz="8" w:space="0"/>
            <w:right w:val="single" w:color="BFBFBF" w:sz="8" w:space="0"/>
            <w:insideH w:val="single" w:color="BFBFBF" w:sz="8" w:space="0"/>
            <w:insideV w:val="single" w:color="BFBFB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vAlign w:val="center"/>
          </w:tcPr>
          <w:p w14:paraId="64249F6D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usart.c / usart.h</w:t>
            </w:r>
          </w:p>
        </w:tc>
        <w:tc>
          <w:tcPr>
            <w:tcW w:w="3216" w:type="dxa"/>
            <w:vAlign w:val="center"/>
          </w:tcPr>
          <w:p w14:paraId="04AA8402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BSP</w:t>
            </w:r>
          </w:p>
        </w:tc>
        <w:tc>
          <w:tcPr>
            <w:tcW w:w="3216" w:type="dxa"/>
            <w:vAlign w:val="center"/>
          </w:tcPr>
          <w:p w14:paraId="0C185E30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初始化 USART2，实现 printf 串口输出到 QCOM_V1.6</w:t>
            </w:r>
          </w:p>
        </w:tc>
      </w:tr>
      <w:tr w14:paraId="01A60D6B">
        <w:tblPrEx>
          <w:tblBorders>
            <w:top w:val="single" w:color="BFBFBF" w:sz="8" w:space="0"/>
            <w:left w:val="single" w:color="BFBFBF" w:sz="8" w:space="0"/>
            <w:bottom w:val="single" w:color="BFBFBF" w:sz="8" w:space="0"/>
            <w:right w:val="single" w:color="BFBFBF" w:sz="8" w:space="0"/>
            <w:insideH w:val="single" w:color="BFBFBF" w:sz="8" w:space="0"/>
            <w:insideV w:val="single" w:color="BFBFB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vAlign w:val="center"/>
          </w:tcPr>
          <w:p w14:paraId="7DD801D5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dht11.c / dht11.h</w:t>
            </w:r>
          </w:p>
        </w:tc>
        <w:tc>
          <w:tcPr>
            <w:tcW w:w="3216" w:type="dxa"/>
            <w:vAlign w:val="center"/>
          </w:tcPr>
          <w:p w14:paraId="5292C250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BSP</w:t>
            </w:r>
          </w:p>
        </w:tc>
        <w:tc>
          <w:tcPr>
            <w:tcW w:w="3216" w:type="dxa"/>
            <w:vAlign w:val="center"/>
          </w:tcPr>
          <w:p w14:paraId="1FE4FCE9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完成 DHT11 温湿度传感器初始化与数据读取</w:t>
            </w:r>
          </w:p>
        </w:tc>
      </w:tr>
      <w:tr w14:paraId="3114A30F">
        <w:tblPrEx>
          <w:tblBorders>
            <w:top w:val="single" w:color="BFBFBF" w:sz="8" w:space="0"/>
            <w:left w:val="single" w:color="BFBFBF" w:sz="8" w:space="0"/>
            <w:bottom w:val="single" w:color="BFBFBF" w:sz="8" w:space="0"/>
            <w:right w:val="single" w:color="BFBFBF" w:sz="8" w:space="0"/>
            <w:insideH w:val="single" w:color="BFBFBF" w:sz="8" w:space="0"/>
            <w:insideV w:val="single" w:color="BFBFB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vAlign w:val="center"/>
          </w:tcPr>
          <w:p w14:paraId="7C76264F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mq.c / mq.h</w:t>
            </w:r>
          </w:p>
        </w:tc>
        <w:tc>
          <w:tcPr>
            <w:tcW w:w="3216" w:type="dxa"/>
            <w:vAlign w:val="center"/>
          </w:tcPr>
          <w:p w14:paraId="2B906473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BSP</w:t>
            </w:r>
          </w:p>
        </w:tc>
        <w:tc>
          <w:tcPr>
            <w:tcW w:w="3216" w:type="dxa"/>
            <w:vAlign w:val="center"/>
          </w:tcPr>
          <w:p w14:paraId="4B0AC3F9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完成 MQ 传感器初始化与检测值读取</w:t>
            </w:r>
          </w:p>
        </w:tc>
      </w:tr>
      <w:tr w14:paraId="2CF1DF65">
        <w:tblPrEx>
          <w:tblBorders>
            <w:top w:val="single" w:color="BFBFBF" w:sz="8" w:space="0"/>
            <w:left w:val="single" w:color="BFBFBF" w:sz="8" w:space="0"/>
            <w:bottom w:val="single" w:color="BFBFBF" w:sz="8" w:space="0"/>
            <w:right w:val="single" w:color="BFBFBF" w:sz="8" w:space="0"/>
            <w:insideH w:val="single" w:color="BFBFBF" w:sz="8" w:space="0"/>
            <w:insideV w:val="single" w:color="BFBFB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vAlign w:val="center"/>
          </w:tcPr>
          <w:p w14:paraId="2C7835B8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lcd_ili9341.c / lcd_ili9341.h</w:t>
            </w:r>
          </w:p>
        </w:tc>
        <w:tc>
          <w:tcPr>
            <w:tcW w:w="3216" w:type="dxa"/>
            <w:vAlign w:val="center"/>
          </w:tcPr>
          <w:p w14:paraId="103C8CAC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BSP</w:t>
            </w:r>
          </w:p>
        </w:tc>
        <w:tc>
          <w:tcPr>
            <w:tcW w:w="3216" w:type="dxa"/>
            <w:vAlign w:val="center"/>
          </w:tcPr>
          <w:p w14:paraId="5FDCE012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完成 LCD 初始化、清屏、颜色设置和英文字符串显示</w:t>
            </w:r>
          </w:p>
        </w:tc>
      </w:tr>
      <w:tr w14:paraId="7DFBE8F4">
        <w:tblPrEx>
          <w:tblBorders>
            <w:top w:val="single" w:color="BFBFBF" w:sz="8" w:space="0"/>
            <w:left w:val="single" w:color="BFBFBF" w:sz="8" w:space="0"/>
            <w:bottom w:val="single" w:color="BFBFBF" w:sz="8" w:space="0"/>
            <w:right w:val="single" w:color="BFBFBF" w:sz="8" w:space="0"/>
            <w:insideH w:val="single" w:color="BFBFBF" w:sz="8" w:space="0"/>
            <w:insideV w:val="single" w:color="BFBFB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vAlign w:val="center"/>
          </w:tcPr>
          <w:p w14:paraId="165B7BDF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lcd_fonts.c / lcd_fonts.h</w:t>
            </w:r>
          </w:p>
        </w:tc>
        <w:tc>
          <w:tcPr>
            <w:tcW w:w="3216" w:type="dxa"/>
            <w:vAlign w:val="center"/>
          </w:tcPr>
          <w:p w14:paraId="75B3FD0F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BSP</w:t>
            </w:r>
          </w:p>
        </w:tc>
        <w:tc>
          <w:tcPr>
            <w:tcW w:w="3216" w:type="dxa"/>
            <w:vAlign w:val="center"/>
          </w:tcPr>
          <w:p w14:paraId="77183BCE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提供 LCD 显示英文字符所需的字模数据</w:t>
            </w:r>
          </w:p>
        </w:tc>
      </w:tr>
      <w:tr w14:paraId="0168410F">
        <w:tblPrEx>
          <w:tblBorders>
            <w:top w:val="single" w:color="BFBFBF" w:sz="8" w:space="0"/>
            <w:left w:val="single" w:color="BFBFBF" w:sz="8" w:space="0"/>
            <w:bottom w:val="single" w:color="BFBFBF" w:sz="8" w:space="0"/>
            <w:right w:val="single" w:color="BFBFBF" w:sz="8" w:space="0"/>
            <w:insideH w:val="single" w:color="BFBFBF" w:sz="8" w:space="0"/>
            <w:insideV w:val="single" w:color="BFBFB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vAlign w:val="center"/>
          </w:tcPr>
          <w:p w14:paraId="4A542BA4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delay.c / delay.h</w:t>
            </w:r>
          </w:p>
        </w:tc>
        <w:tc>
          <w:tcPr>
            <w:tcW w:w="3216" w:type="dxa"/>
            <w:vAlign w:val="center"/>
          </w:tcPr>
          <w:p w14:paraId="729DC591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UTILS</w:t>
            </w:r>
          </w:p>
        </w:tc>
        <w:tc>
          <w:tcPr>
            <w:tcW w:w="3216" w:type="dxa"/>
            <w:vAlign w:val="center"/>
          </w:tcPr>
          <w:p w14:paraId="320D879E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提供毫秒级延时函数，用于传感器采样间隔控制</w:t>
            </w:r>
          </w:p>
        </w:tc>
      </w:tr>
      <w:tr w14:paraId="47834269">
        <w:tblPrEx>
          <w:tblBorders>
            <w:top w:val="single" w:color="BFBFBF" w:sz="8" w:space="0"/>
            <w:left w:val="single" w:color="BFBFBF" w:sz="8" w:space="0"/>
            <w:bottom w:val="single" w:color="BFBFBF" w:sz="8" w:space="0"/>
            <w:right w:val="single" w:color="BFBFBF" w:sz="8" w:space="0"/>
            <w:insideH w:val="single" w:color="BFBFBF" w:sz="8" w:space="0"/>
            <w:insideV w:val="single" w:color="BFBFB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vAlign w:val="center"/>
          </w:tcPr>
          <w:p w14:paraId="7DBA8A34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utils.c / utils.h</w:t>
            </w:r>
          </w:p>
        </w:tc>
        <w:tc>
          <w:tcPr>
            <w:tcW w:w="3216" w:type="dxa"/>
            <w:vAlign w:val="center"/>
          </w:tcPr>
          <w:p w14:paraId="2E3A0FE6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UTILS</w:t>
            </w:r>
          </w:p>
        </w:tc>
        <w:tc>
          <w:tcPr>
            <w:tcW w:w="3216" w:type="dxa"/>
            <w:vAlign w:val="center"/>
          </w:tcPr>
          <w:p w14:paraId="2FA6A7A4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提供工程中可能使用的基础工具函数</w:t>
            </w:r>
          </w:p>
        </w:tc>
      </w:tr>
      <w:tr w14:paraId="340E5EFB">
        <w:tblPrEx>
          <w:tblBorders>
            <w:top w:val="single" w:color="BFBFBF" w:sz="8" w:space="0"/>
            <w:left w:val="single" w:color="BFBFBF" w:sz="8" w:space="0"/>
            <w:bottom w:val="single" w:color="BFBFBF" w:sz="8" w:space="0"/>
            <w:right w:val="single" w:color="BFBFBF" w:sz="8" w:space="0"/>
            <w:insideH w:val="single" w:color="BFBFBF" w:sz="8" w:space="0"/>
            <w:insideV w:val="single" w:color="BFBFB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6" w:type="dxa"/>
            <w:vAlign w:val="center"/>
          </w:tcPr>
          <w:p w14:paraId="41C90F58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stm32f4xx_it.c</w:t>
            </w:r>
          </w:p>
        </w:tc>
        <w:tc>
          <w:tcPr>
            <w:tcW w:w="3216" w:type="dxa"/>
            <w:vAlign w:val="center"/>
          </w:tcPr>
          <w:p w14:paraId="3C8562FE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USER</w:t>
            </w:r>
          </w:p>
        </w:tc>
        <w:tc>
          <w:tcPr>
            <w:tcW w:w="3216" w:type="dxa"/>
            <w:vAlign w:val="center"/>
          </w:tcPr>
          <w:p w14:paraId="075D31A5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中断相关文件，本实验主流程中不重点修改</w:t>
            </w:r>
          </w:p>
        </w:tc>
      </w:tr>
    </w:tbl>
    <w:p w14:paraId="4AD07E37">
      <w:pPr>
        <w:pStyle w:val="3"/>
        <w:spacing w:before="280" w:after="14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b/>
          <w:color w:val="2E74B5"/>
          <w:sz w:val="32"/>
        </w:rPr>
        <w:t>五、整体实现流程</w:t>
      </w:r>
    </w:p>
    <w:p w14:paraId="60B3D67D">
      <w:pPr>
        <w:spacing w:after="120" w:line="288" w:lineRule="auto"/>
        <w:ind w:firstLine="42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sz w:val="21"/>
        </w:rPr>
        <w:t>系统运行时首先完成各模块初始化，然后进入循环检测状态。每次循环中，程序依次读取 DHT11 温湿度数据和 MQ 传感器检测值，再将采集结果显示在 LCD 上，同时通过 USART2 输出到 QCOM_V1.6。随后程序根据设定阈值判断是否进入报警状态。</w:t>
      </w:r>
    </w:p>
    <w:p w14:paraId="1E04AB35">
      <w:pPr>
        <w:spacing w:after="80" w:line="276" w:lineRule="auto"/>
        <w:ind w:left="360" w:hanging="23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sz w:val="21"/>
        </w:rPr>
        <w:t>• 第一步：初始化串口、DHT11、MQ 传感器、LCD、蜂鸣器和 LED。</w:t>
      </w:r>
    </w:p>
    <w:p w14:paraId="02B7F027">
      <w:pPr>
        <w:spacing w:after="80" w:line="276" w:lineRule="auto"/>
        <w:ind w:left="360" w:hanging="23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sz w:val="21"/>
        </w:rPr>
        <w:t>• 第二步：读取 DHT11 传感器数据，获得温度和湿度。</w:t>
      </w:r>
    </w:p>
    <w:p w14:paraId="0623950A">
      <w:pPr>
        <w:spacing w:after="80" w:line="276" w:lineRule="auto"/>
        <w:ind w:left="360" w:hanging="23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sz w:val="21"/>
        </w:rPr>
        <w:t>• 第三步：读取 MQ 传感器检测值，获得当前燃气或烟雾浓度变化情况。</w:t>
      </w:r>
    </w:p>
    <w:p w14:paraId="2BDA1DAE">
      <w:pPr>
        <w:spacing w:after="80" w:line="276" w:lineRule="auto"/>
        <w:ind w:left="360" w:hanging="23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sz w:val="21"/>
        </w:rPr>
        <w:t>• 第四步：将温度、湿度、MQ 检测值显示到 LCD，同时通过串口输出到 QCOM_V1.6。</w:t>
      </w:r>
    </w:p>
    <w:p w14:paraId="68BECD0B">
      <w:pPr>
        <w:spacing w:after="80" w:line="276" w:lineRule="auto"/>
        <w:ind w:left="360" w:hanging="23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sz w:val="21"/>
        </w:rPr>
        <w:t>• 第五步：判断温度是否超过 TEMP_LIMIT，或者 MQ 检测值是否超过 MQ_LIMIT。</w:t>
      </w:r>
    </w:p>
    <w:p w14:paraId="0F77C068">
      <w:pPr>
        <w:spacing w:after="80" w:line="276" w:lineRule="auto"/>
        <w:ind w:left="360" w:hanging="23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sz w:val="21"/>
        </w:rPr>
        <w:t>• 第六步：如果超过阈值，则 LCD 显示 ALARM，蜂鸣器响，LED 点亮，并通过串口输出报警信息。</w:t>
      </w:r>
    </w:p>
    <w:p w14:paraId="0B058AEA">
      <w:pPr>
        <w:spacing w:after="80" w:line="276" w:lineRule="auto"/>
        <w:ind w:left="360" w:hanging="23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sz w:val="21"/>
        </w:rPr>
        <w:t>• 第七步：如果未超过阈值，则 LCD 显示 SAFE，蜂鸣器和 LED 关闭，系统继续监测。</w:t>
      </w:r>
    </w:p>
    <w:p w14:paraId="45D5AABF">
      <w:pPr>
        <w:spacing w:after="120" w:line="288" w:lineRule="auto"/>
        <w:ind w:firstLine="42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sz w:val="21"/>
        </w:rPr>
        <w:t>在本项目中，蜂鸣器连接在 PA8 引脚，采用低电平触发方式；LED 连接在 PB5、PB0、PB1 引脚，同样采用低电平点亮方式。因此程序在报警状态下输出低电平，在安全状态下输出高电平。</w:t>
      </w:r>
    </w:p>
    <w:p w14:paraId="2B41003F">
      <w:pPr>
        <w:pStyle w:val="3"/>
        <w:spacing w:before="280" w:after="14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b/>
          <w:color w:val="2E74B5"/>
          <w:sz w:val="32"/>
        </w:rPr>
        <w:t>六、系统工作状态说明</w:t>
      </w:r>
    </w:p>
    <w:tbl>
      <w:tblPr>
        <w:tblStyle w:val="32"/>
        <w:tblW w:w="0" w:type="auto"/>
        <w:jc w:val="center"/>
        <w:tblBorders>
          <w:top w:val="single" w:color="BFBFBF" w:sz="8" w:space="0"/>
          <w:left w:val="single" w:color="BFBFBF" w:sz="8" w:space="0"/>
          <w:bottom w:val="single" w:color="BFBFBF" w:sz="8" w:space="0"/>
          <w:right w:val="single" w:color="BFBFBF" w:sz="8" w:space="0"/>
          <w:insideH w:val="single" w:color="BFBFBF" w:sz="8" w:space="0"/>
          <w:insideV w:val="single" w:color="BFBFBF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2"/>
        <w:gridCol w:w="2412"/>
        <w:gridCol w:w="2412"/>
        <w:gridCol w:w="2412"/>
      </w:tblGrid>
      <w:tr w14:paraId="0C9A99C5">
        <w:tblPrEx>
          <w:tblBorders>
            <w:top w:val="single" w:color="BFBFBF" w:sz="8" w:space="0"/>
            <w:left w:val="single" w:color="BFBFBF" w:sz="8" w:space="0"/>
            <w:bottom w:val="single" w:color="BFBFBF" w:sz="8" w:space="0"/>
            <w:right w:val="single" w:color="BFBFBF" w:sz="8" w:space="0"/>
            <w:insideH w:val="single" w:color="BFBFBF" w:sz="8" w:space="0"/>
            <w:insideV w:val="single" w:color="BFBFB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12" w:type="dxa"/>
            <w:shd w:val="clear" w:color="auto" w:fill="E8EEF5"/>
          </w:tcPr>
          <w:p w14:paraId="0CEFB87F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/>
                <w:color w:val="1F4D78"/>
                <w:sz w:val="21"/>
              </w:rPr>
              <w:t>工作状态</w:t>
            </w:r>
          </w:p>
        </w:tc>
        <w:tc>
          <w:tcPr>
            <w:tcW w:w="2412" w:type="dxa"/>
            <w:shd w:val="clear" w:color="auto" w:fill="E8EEF5"/>
          </w:tcPr>
          <w:p w14:paraId="6DA51AF1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/>
                <w:color w:val="1F4D78"/>
                <w:sz w:val="21"/>
              </w:rPr>
              <w:t>触发条件</w:t>
            </w:r>
          </w:p>
        </w:tc>
        <w:tc>
          <w:tcPr>
            <w:tcW w:w="2412" w:type="dxa"/>
            <w:shd w:val="clear" w:color="auto" w:fill="E8EEF5"/>
          </w:tcPr>
          <w:p w14:paraId="197B2CFF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/>
                <w:color w:val="1F4D78"/>
                <w:sz w:val="21"/>
              </w:rPr>
              <w:t>系统显示</w:t>
            </w:r>
          </w:p>
        </w:tc>
        <w:tc>
          <w:tcPr>
            <w:tcW w:w="2412" w:type="dxa"/>
            <w:shd w:val="clear" w:color="auto" w:fill="E8EEF5"/>
          </w:tcPr>
          <w:p w14:paraId="6E518939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/>
                <w:color w:val="1F4D78"/>
                <w:sz w:val="21"/>
              </w:rPr>
              <w:t>报警表现</w:t>
            </w:r>
          </w:p>
        </w:tc>
      </w:tr>
      <w:tr w14:paraId="6DEC1286">
        <w:tblPrEx>
          <w:tblBorders>
            <w:top w:val="single" w:color="BFBFBF" w:sz="8" w:space="0"/>
            <w:left w:val="single" w:color="BFBFBF" w:sz="8" w:space="0"/>
            <w:bottom w:val="single" w:color="BFBFBF" w:sz="8" w:space="0"/>
            <w:right w:val="single" w:color="BFBFBF" w:sz="8" w:space="0"/>
            <w:insideH w:val="single" w:color="BFBFBF" w:sz="8" w:space="0"/>
            <w:insideV w:val="single" w:color="BFBFB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12" w:type="dxa"/>
            <w:vAlign w:val="center"/>
          </w:tcPr>
          <w:p w14:paraId="2848AE14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正常状态</w:t>
            </w:r>
          </w:p>
        </w:tc>
        <w:tc>
          <w:tcPr>
            <w:tcW w:w="2412" w:type="dxa"/>
            <w:vAlign w:val="center"/>
          </w:tcPr>
          <w:p w14:paraId="669B4EF0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温度低于阈值，MQ 检测值低于阈值</w:t>
            </w:r>
          </w:p>
        </w:tc>
        <w:tc>
          <w:tcPr>
            <w:tcW w:w="2412" w:type="dxa"/>
            <w:vAlign w:val="center"/>
          </w:tcPr>
          <w:p w14:paraId="19E10BB7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LCD 显示 SAFE，QCOM 输出实时数据</w:t>
            </w:r>
          </w:p>
        </w:tc>
        <w:tc>
          <w:tcPr>
            <w:tcW w:w="2412" w:type="dxa"/>
            <w:vAlign w:val="center"/>
          </w:tcPr>
          <w:p w14:paraId="50103D3C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蜂鸣器关闭，LED 熄灭</w:t>
            </w:r>
          </w:p>
        </w:tc>
      </w:tr>
      <w:tr w14:paraId="579F18B2">
        <w:tblPrEx>
          <w:tblBorders>
            <w:top w:val="single" w:color="BFBFBF" w:sz="8" w:space="0"/>
            <w:left w:val="single" w:color="BFBFBF" w:sz="8" w:space="0"/>
            <w:bottom w:val="single" w:color="BFBFBF" w:sz="8" w:space="0"/>
            <w:right w:val="single" w:color="BFBFBF" w:sz="8" w:space="0"/>
            <w:insideH w:val="single" w:color="BFBFBF" w:sz="8" w:space="0"/>
            <w:insideV w:val="single" w:color="BFBFB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12" w:type="dxa"/>
            <w:vAlign w:val="center"/>
          </w:tcPr>
          <w:p w14:paraId="59495039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报警状态</w:t>
            </w:r>
          </w:p>
        </w:tc>
        <w:tc>
          <w:tcPr>
            <w:tcW w:w="2412" w:type="dxa"/>
            <w:vAlign w:val="center"/>
          </w:tcPr>
          <w:p w14:paraId="3ED41B84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温度超过阈值，或 MQ 检测值超过阈值</w:t>
            </w:r>
          </w:p>
        </w:tc>
        <w:tc>
          <w:tcPr>
            <w:tcW w:w="2412" w:type="dxa"/>
            <w:vAlign w:val="center"/>
          </w:tcPr>
          <w:p w14:paraId="009D31F8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LCD 显示 ALARM，QCOM 输出 Warning 信息</w:t>
            </w:r>
          </w:p>
        </w:tc>
        <w:tc>
          <w:tcPr>
            <w:tcW w:w="2412" w:type="dxa"/>
            <w:vAlign w:val="center"/>
          </w:tcPr>
          <w:p w14:paraId="0D0BF31C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蜂鸣器鸣响，LED 点亮</w:t>
            </w:r>
          </w:p>
        </w:tc>
      </w:tr>
      <w:tr w14:paraId="096107ED">
        <w:tblPrEx>
          <w:tblBorders>
            <w:top w:val="single" w:color="BFBFBF" w:sz="8" w:space="0"/>
            <w:left w:val="single" w:color="BFBFBF" w:sz="8" w:space="0"/>
            <w:bottom w:val="single" w:color="BFBFBF" w:sz="8" w:space="0"/>
            <w:right w:val="single" w:color="BFBFBF" w:sz="8" w:space="0"/>
            <w:insideH w:val="single" w:color="BFBFBF" w:sz="8" w:space="0"/>
            <w:insideV w:val="single" w:color="BFBFB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12" w:type="dxa"/>
            <w:vAlign w:val="center"/>
          </w:tcPr>
          <w:p w14:paraId="10CA01E0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传感器异常</w:t>
            </w:r>
          </w:p>
        </w:tc>
        <w:tc>
          <w:tcPr>
            <w:tcW w:w="2412" w:type="dxa"/>
            <w:vAlign w:val="center"/>
          </w:tcPr>
          <w:p w14:paraId="74ACB690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DHT11 读取失败</w:t>
            </w:r>
          </w:p>
        </w:tc>
        <w:tc>
          <w:tcPr>
            <w:tcW w:w="2412" w:type="dxa"/>
            <w:vAlign w:val="center"/>
          </w:tcPr>
          <w:p w14:paraId="0293DDC5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LCD 显示 DHT11 Read Error</w:t>
            </w:r>
          </w:p>
        </w:tc>
        <w:tc>
          <w:tcPr>
            <w:tcW w:w="2412" w:type="dxa"/>
            <w:vAlign w:val="center"/>
          </w:tcPr>
          <w:p w14:paraId="7ADC5E2C">
            <w:pPr>
              <w:spacing w:after="0" w:line="264" w:lineRule="auto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sz w:val="21"/>
              </w:rPr>
              <w:t>串口输出读取错误信息</w:t>
            </w:r>
          </w:p>
        </w:tc>
      </w:tr>
    </w:tbl>
    <w:p w14:paraId="2AC43E3B">
      <w:pPr>
        <w:pStyle w:val="3"/>
        <w:spacing w:before="280" w:after="14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b/>
          <w:color w:val="2E74B5"/>
          <w:sz w:val="32"/>
        </w:rPr>
        <w:t>七、结果展示</w:t>
      </w:r>
    </w:p>
    <w:p w14:paraId="104E2EAB">
      <w:pPr>
        <w:spacing w:after="120" w:line="288" w:lineRule="auto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sz w:val="21"/>
        </w:rPr>
        <w:t>本部分用于粘贴实验运行截图和演示照片。建议至少粘贴 LCD 显示界面、QCOM 串口输出界面、报警状态现象三类图片。</w:t>
      </w:r>
    </w:p>
    <w:p w14:paraId="5F74F526">
      <w:pPr>
        <w:spacing w:before="120" w:after="8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b/>
          <w:sz w:val="21"/>
        </w:rPr>
        <w:t>图1 LCD 实时数据显示界面</w:t>
      </w:r>
    </w:p>
    <w:tbl>
      <w:tblPr>
        <w:tblStyle w:val="32"/>
        <w:tblW w:w="0" w:type="auto"/>
        <w:jc w:val="center"/>
        <w:tblBorders>
          <w:top w:val="single" w:color="A6A6A6" w:sz="8" w:space="0"/>
          <w:left w:val="single" w:color="A6A6A6" w:sz="8" w:space="0"/>
          <w:bottom w:val="single" w:color="A6A6A6" w:sz="8" w:space="0"/>
          <w:right w:val="single" w:color="A6A6A6" w:sz="8" w:space="0"/>
          <w:insideH w:val="single" w:color="A6A6A6" w:sz="8" w:space="0"/>
          <w:insideV w:val="single" w:color="A6A6A6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48"/>
      </w:tblGrid>
      <w:tr w14:paraId="08E07987">
        <w:tblPrEx>
          <w:tblBorders>
            <w:top w:val="single" w:color="A6A6A6" w:sz="8" w:space="0"/>
            <w:left w:val="single" w:color="A6A6A6" w:sz="8" w:space="0"/>
            <w:bottom w:val="single" w:color="A6A6A6" w:sz="8" w:space="0"/>
            <w:right w:val="single" w:color="A6A6A6" w:sz="8" w:space="0"/>
            <w:insideH w:val="single" w:color="A6A6A6" w:sz="8" w:space="0"/>
            <w:insideV w:val="single" w:color="A6A6A6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48" w:type="dxa"/>
            <w:vAlign w:val="center"/>
          </w:tcPr>
          <w:p w14:paraId="0D50BA80">
            <w:pPr>
              <w:spacing w:after="0" w:line="264" w:lineRule="auto"/>
              <w:jc w:val="center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color w:val="808080"/>
                <w:sz w:val="21"/>
              </w:rPr>
              <w:br w:type="textWrapping"/>
            </w:r>
            <w:r>
              <w:rPr>
                <w:rFonts w:hint="eastAsia" w:ascii="仿宋" w:hAnsi="仿宋" w:eastAsia="仿宋" w:cs="仿宋"/>
                <w:b w:val="0"/>
                <w:color w:val="808080"/>
                <w:sz w:val="21"/>
              </w:rPr>
              <w:br w:type="textWrapping"/>
            </w:r>
            <w:r>
              <w:rPr>
                <w:rFonts w:hint="eastAsia" w:ascii="仿宋" w:hAnsi="仿宋" w:eastAsia="仿宋" w:cs="仿宋"/>
                <w:b w:val="0"/>
                <w:color w:val="808080"/>
                <w:sz w:val="21"/>
              </w:rPr>
              <w:t>在此处粘贴实验图片</w:t>
            </w:r>
            <w:r>
              <w:rPr>
                <w:rFonts w:hint="eastAsia" w:ascii="仿宋" w:hAnsi="仿宋" w:eastAsia="仿宋" w:cs="仿宋"/>
                <w:b w:val="0"/>
                <w:color w:val="808080"/>
                <w:sz w:val="21"/>
              </w:rPr>
              <w:br w:type="textWrapping"/>
            </w:r>
            <w:r>
              <w:rPr>
                <w:rFonts w:hint="eastAsia" w:ascii="仿宋" w:hAnsi="仿宋" w:eastAsia="仿宋" w:cs="仿宋"/>
                <w:b w:val="0"/>
                <w:color w:val="808080"/>
                <w:sz w:val="21"/>
              </w:rPr>
              <w:br w:type="textWrapping"/>
            </w:r>
          </w:p>
        </w:tc>
      </w:tr>
    </w:tbl>
    <w:p w14:paraId="635AA75B">
      <w:pPr>
        <w:spacing w:after="80"/>
        <w:rPr>
          <w:rFonts w:hint="eastAsia" w:ascii="仿宋" w:hAnsi="仿宋" w:eastAsia="仿宋" w:cs="仿宋"/>
        </w:rPr>
      </w:pPr>
    </w:p>
    <w:p w14:paraId="4E3A8C51">
      <w:pPr>
        <w:spacing w:before="120" w:after="8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b/>
          <w:sz w:val="21"/>
        </w:rPr>
        <w:t>图2 QCOM_V1.6 串口输出结果</w:t>
      </w:r>
    </w:p>
    <w:tbl>
      <w:tblPr>
        <w:tblStyle w:val="32"/>
        <w:tblW w:w="0" w:type="auto"/>
        <w:jc w:val="center"/>
        <w:tblBorders>
          <w:top w:val="single" w:color="A6A6A6" w:sz="8" w:space="0"/>
          <w:left w:val="single" w:color="A6A6A6" w:sz="8" w:space="0"/>
          <w:bottom w:val="single" w:color="A6A6A6" w:sz="8" w:space="0"/>
          <w:right w:val="single" w:color="A6A6A6" w:sz="8" w:space="0"/>
          <w:insideH w:val="single" w:color="A6A6A6" w:sz="8" w:space="0"/>
          <w:insideV w:val="single" w:color="A6A6A6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48"/>
      </w:tblGrid>
      <w:tr w14:paraId="59290355">
        <w:tblPrEx>
          <w:tblBorders>
            <w:top w:val="single" w:color="A6A6A6" w:sz="8" w:space="0"/>
            <w:left w:val="single" w:color="A6A6A6" w:sz="8" w:space="0"/>
            <w:bottom w:val="single" w:color="A6A6A6" w:sz="8" w:space="0"/>
            <w:right w:val="single" w:color="A6A6A6" w:sz="8" w:space="0"/>
            <w:insideH w:val="single" w:color="A6A6A6" w:sz="8" w:space="0"/>
            <w:insideV w:val="single" w:color="A6A6A6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48" w:type="dxa"/>
            <w:vAlign w:val="center"/>
          </w:tcPr>
          <w:p w14:paraId="42AC7332">
            <w:pPr>
              <w:spacing w:after="0" w:line="264" w:lineRule="auto"/>
              <w:jc w:val="center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color w:val="808080"/>
                <w:sz w:val="21"/>
              </w:rPr>
              <w:br w:type="textWrapping"/>
            </w:r>
            <w:r>
              <w:rPr>
                <w:rFonts w:hint="eastAsia" w:ascii="仿宋" w:hAnsi="仿宋" w:eastAsia="仿宋" w:cs="仿宋"/>
                <w:b w:val="0"/>
                <w:color w:val="808080"/>
                <w:sz w:val="21"/>
              </w:rPr>
              <w:br w:type="textWrapping"/>
            </w:r>
            <w:r>
              <w:rPr>
                <w:rFonts w:hint="eastAsia" w:ascii="仿宋" w:hAnsi="仿宋" w:eastAsia="仿宋" w:cs="仿宋"/>
                <w:b w:val="0"/>
                <w:color w:val="808080"/>
                <w:sz w:val="21"/>
              </w:rPr>
              <w:t>在此处粘贴实验图片</w:t>
            </w:r>
            <w:r>
              <w:rPr>
                <w:rFonts w:hint="eastAsia" w:ascii="仿宋" w:hAnsi="仿宋" w:eastAsia="仿宋" w:cs="仿宋"/>
                <w:b w:val="0"/>
                <w:color w:val="808080"/>
                <w:sz w:val="21"/>
              </w:rPr>
              <w:br w:type="textWrapping"/>
            </w:r>
            <w:r>
              <w:rPr>
                <w:rFonts w:hint="eastAsia" w:ascii="仿宋" w:hAnsi="仿宋" w:eastAsia="仿宋" w:cs="仿宋"/>
                <w:b w:val="0"/>
                <w:color w:val="808080"/>
                <w:sz w:val="21"/>
              </w:rPr>
              <w:br w:type="textWrapping"/>
            </w:r>
          </w:p>
        </w:tc>
      </w:tr>
    </w:tbl>
    <w:p w14:paraId="4B7DA36F">
      <w:pPr>
        <w:spacing w:after="80"/>
        <w:rPr>
          <w:rFonts w:hint="eastAsia" w:ascii="仿宋" w:hAnsi="仿宋" w:eastAsia="仿宋" w:cs="仿宋"/>
        </w:rPr>
      </w:pPr>
    </w:p>
    <w:p w14:paraId="03E03B86">
      <w:pPr>
        <w:spacing w:before="120" w:after="8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b/>
          <w:sz w:val="21"/>
        </w:rPr>
        <w:t>图3 温度或燃气异常时的声光报警现象</w:t>
      </w:r>
    </w:p>
    <w:tbl>
      <w:tblPr>
        <w:tblStyle w:val="32"/>
        <w:tblW w:w="0" w:type="auto"/>
        <w:jc w:val="center"/>
        <w:tblBorders>
          <w:top w:val="single" w:color="A6A6A6" w:sz="8" w:space="0"/>
          <w:left w:val="single" w:color="A6A6A6" w:sz="8" w:space="0"/>
          <w:bottom w:val="single" w:color="A6A6A6" w:sz="8" w:space="0"/>
          <w:right w:val="single" w:color="A6A6A6" w:sz="8" w:space="0"/>
          <w:insideH w:val="single" w:color="A6A6A6" w:sz="8" w:space="0"/>
          <w:insideV w:val="single" w:color="A6A6A6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48"/>
      </w:tblGrid>
      <w:tr w14:paraId="241FF491">
        <w:tblPrEx>
          <w:tblBorders>
            <w:top w:val="single" w:color="A6A6A6" w:sz="8" w:space="0"/>
            <w:left w:val="single" w:color="A6A6A6" w:sz="8" w:space="0"/>
            <w:bottom w:val="single" w:color="A6A6A6" w:sz="8" w:space="0"/>
            <w:right w:val="single" w:color="A6A6A6" w:sz="8" w:space="0"/>
            <w:insideH w:val="single" w:color="A6A6A6" w:sz="8" w:space="0"/>
            <w:insideV w:val="single" w:color="A6A6A6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48" w:type="dxa"/>
            <w:vAlign w:val="center"/>
          </w:tcPr>
          <w:p w14:paraId="09A7A444">
            <w:pPr>
              <w:spacing w:after="0" w:line="264" w:lineRule="auto"/>
              <w:jc w:val="center"/>
              <w:rPr>
                <w:rFonts w:hint="eastAsia" w:ascii="仿宋" w:hAnsi="仿宋" w:eastAsia="仿宋" w:cs="仿宋"/>
              </w:rPr>
            </w:pPr>
            <w:r>
              <w:rPr>
                <w:rFonts w:hint="eastAsia" w:ascii="仿宋" w:hAnsi="仿宋" w:eastAsia="仿宋" w:cs="仿宋"/>
                <w:b w:val="0"/>
                <w:color w:val="808080"/>
                <w:sz w:val="21"/>
              </w:rPr>
              <w:br w:type="textWrapping"/>
            </w:r>
            <w:r>
              <w:rPr>
                <w:rFonts w:hint="eastAsia" w:ascii="仿宋" w:hAnsi="仿宋" w:eastAsia="仿宋" w:cs="仿宋"/>
                <w:b w:val="0"/>
                <w:color w:val="808080"/>
                <w:sz w:val="21"/>
              </w:rPr>
              <w:br w:type="textWrapping"/>
            </w:r>
            <w:r>
              <w:rPr>
                <w:rFonts w:hint="eastAsia" w:ascii="仿宋" w:hAnsi="仿宋" w:eastAsia="仿宋" w:cs="仿宋"/>
                <w:b w:val="0"/>
                <w:color w:val="808080"/>
                <w:sz w:val="21"/>
              </w:rPr>
              <w:t>在此处粘贴实验图片</w:t>
            </w:r>
            <w:r>
              <w:rPr>
                <w:rFonts w:hint="eastAsia" w:ascii="仿宋" w:hAnsi="仿宋" w:eastAsia="仿宋" w:cs="仿宋"/>
                <w:b w:val="0"/>
                <w:color w:val="808080"/>
                <w:sz w:val="21"/>
              </w:rPr>
              <w:br w:type="textWrapping"/>
            </w:r>
            <w:r>
              <w:rPr>
                <w:rFonts w:hint="eastAsia" w:ascii="仿宋" w:hAnsi="仿宋" w:eastAsia="仿宋" w:cs="仿宋"/>
                <w:b w:val="0"/>
                <w:color w:val="808080"/>
                <w:sz w:val="21"/>
              </w:rPr>
              <w:br w:type="textWrapping"/>
            </w:r>
          </w:p>
        </w:tc>
      </w:tr>
    </w:tbl>
    <w:p w14:paraId="68D921E0">
      <w:pPr>
        <w:spacing w:after="80"/>
        <w:rPr>
          <w:rFonts w:hint="eastAsia" w:ascii="仿宋" w:hAnsi="仿宋" w:eastAsia="仿宋" w:cs="仿宋"/>
        </w:rPr>
      </w:pPr>
    </w:p>
    <w:p w14:paraId="7B9225B3">
      <w:pPr>
        <w:pStyle w:val="3"/>
        <w:spacing w:before="280" w:after="14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b/>
          <w:color w:val="2E74B5"/>
          <w:sz w:val="32"/>
        </w:rPr>
        <w:t>八、心得体会</w:t>
      </w:r>
    </w:p>
    <w:p w14:paraId="03A6EDF3">
      <w:pPr>
        <w:spacing w:after="120" w:line="288" w:lineRule="auto"/>
        <w:ind w:firstLine="42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sz w:val="21"/>
        </w:rPr>
        <w:t>通过本次综合场景实验，我对 STM32F407 基础外设和传感器模块之间的配合有了更完整的理解。之前的实验大多是单独验证一个模块，例如单独读取 DHT11、单独读取 MQ 传感器、单独使用 LCD 或串口。本次实验则要求围绕一个实际场景进行设计，需要考虑多个模块之间的数据流和控制关系。</w:t>
      </w:r>
    </w:p>
    <w:p w14:paraId="604D13F1">
      <w:pPr>
        <w:spacing w:after="120" w:line="288" w:lineRule="auto"/>
        <w:ind w:firstLine="42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sz w:val="21"/>
        </w:rPr>
        <w:t>在实现过程中，我进一步熟悉了 Keil uVision5 工程的文件组织方式，理解了 main.c 主逻辑与各个驱动文件之间的关系。DHT11 和 MQ 负责采集环境信息，LCD 和 QCOM 负责展示信息，蜂鸣器和 LED 负责报警反馈。整个系统体现了物联网设备中“感知、判断、反馈”的基本工作流程。</w:t>
      </w:r>
    </w:p>
    <w:p w14:paraId="55DECB45">
      <w:pPr>
        <w:spacing w:after="120" w:line="288" w:lineRule="auto"/>
        <w:ind w:firstLine="42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sz w:val="21"/>
        </w:rPr>
        <w:t>本次实验也让我意识到，综合实验的重点不只是让各个模块分别运行，而是要把它们放到一个合理的应用场景中进行联动。例如厨房报警系统中，温度和燃气检测并不是孤立的功能，而是共同服务于安全监测这一目标。通过这次实验，我对嵌入式项目从场景分析、功能设计、硬件选择到程序整合的过程有了更清晰的认识。</w:t>
      </w:r>
    </w:p>
    <w:p w14:paraId="2B5CE779">
      <w:pPr>
        <w:spacing w:after="120" w:line="288" w:lineRule="auto"/>
        <w:ind w:firstLine="420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  <w:sz w:val="21"/>
        </w:rPr>
        <w:t>后续如果继续完善该系统，可以进一步加入自动开窗、风扇排气、手机端提醒、数据存储等功能，使其更接近真实的智能家居安全监测设备。</w:t>
      </w:r>
    </w:p>
    <w:sectPr>
      <w:footerReference r:id="rId5" w:type="default"/>
      <w:pgSz w:w="12240" w:h="15840"/>
      <w:pgMar w:top="1224" w:right="1296" w:bottom="1224" w:left="1296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JP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542D9E">
    <w:pPr>
      <w:pStyle w:val="24"/>
      <w:jc w:val="center"/>
    </w:pPr>
    <w:r>
      <w:rPr>
        <w:rFonts w:ascii="宋体" w:hAnsi="宋体" w:eastAsia="宋体"/>
        <w:color w:val="808080"/>
        <w:sz w:val="18"/>
      </w:rPr>
      <w:t>智能厨房安全监测与报警系统实验报告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D344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Noto Sans CJK JP" w:hAnsi="Noto Sans CJK JP" w:eastAsia="Noto Sans CJK JP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  <w:rPr>
      <w:rFonts w:ascii="Noto Sans CJK JP" w:hAnsi="Noto Sans CJK JP" w:eastAsia="Noto Sans CJK JP"/>
    </w:rPr>
  </w:style>
  <w:style w:type="table" w:default="1" w:styleId="32">
    <w:name w:val="Normal Table"/>
    <w:semiHidden/>
    <w:unhideWhenUsed/>
    <w:uiPriority w:val="99"/>
    <w:rPr>
      <w:rFonts w:ascii="Noto Sans CJK JP" w:hAnsi="Noto Sans CJK JP" w:eastAsia="Noto Sans CJK JP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Noto Sans CJK JP" w:hAnsi="Noto Sans CJK JP" w:eastAsia="Noto Sans CJK JP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  <w:rPr>
      <w:rFonts w:ascii="Noto Sans CJK JP" w:hAnsi="Noto Sans CJK JP" w:eastAsia="Noto Sans CJK JP"/>
    </w:r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  <w:rPr>
      <w:rFonts w:ascii="Noto Sans CJK JP" w:hAnsi="Noto Sans CJK JP" w:eastAsia="Noto Sans CJK JP"/>
    </w:r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  <w:rPr>
      <w:rFonts w:ascii="Noto Sans CJK JP" w:hAnsi="Noto Sans CJK JP" w:eastAsia="Noto Sans CJK JP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Noto Sans CJK JP" w:hAnsi="Noto Sans CJK JP" w:eastAsia="Noto Sans CJK JP"/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  <w:rPr>
      <w:rFonts w:ascii="Noto Sans CJK JP" w:hAnsi="Noto Sans CJK JP" w:eastAsia="Noto Sans CJK JP"/>
    </w:r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rFonts w:ascii="Noto Sans CJK JP" w:hAnsi="Noto Sans CJK JP" w:eastAsia="Noto Sans CJK JP"/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  <w:rPr>
      <w:rFonts w:ascii="Noto Sans CJK JP" w:hAnsi="Noto Sans CJK JP" w:eastAsia="Noto Sans CJK JP"/>
    </w:rPr>
  </w:style>
  <w:style w:type="paragraph" w:styleId="19">
    <w:name w:val="Body Text"/>
    <w:basedOn w:val="1"/>
    <w:link w:val="144"/>
    <w:unhideWhenUsed/>
    <w:uiPriority w:val="99"/>
    <w:pPr>
      <w:spacing w:after="120"/>
    </w:pPr>
    <w:rPr>
      <w:rFonts w:ascii="Noto Sans CJK JP" w:hAnsi="Noto Sans CJK JP" w:eastAsia="Noto Sans CJK JP"/>
    </w:r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  <w:rPr>
      <w:rFonts w:ascii="Noto Sans CJK JP" w:hAnsi="Noto Sans CJK JP" w:eastAsia="Noto Sans CJK JP"/>
    </w:r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  <w:rPr>
      <w:rFonts w:ascii="Noto Sans CJK JP" w:hAnsi="Noto Sans CJK JP" w:eastAsia="Noto Sans CJK JP"/>
    </w:r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  <w:rPr>
      <w:rFonts w:ascii="Noto Sans CJK JP" w:hAnsi="Noto Sans CJK JP" w:eastAsia="Noto Sans CJK JP"/>
    </w:r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  <w:rPr>
      <w:rFonts w:ascii="Noto Sans CJK JP" w:hAnsi="Noto Sans CJK JP" w:eastAsia="Noto Sans CJK JP"/>
    </w:r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  <w:rPr>
      <w:rFonts w:ascii="Noto Sans CJK JP" w:hAnsi="Noto Sans CJK JP" w:eastAsia="Noto Sans CJK JP"/>
    </w:r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  <w:rPr>
      <w:rFonts w:ascii="Noto Sans CJK JP" w:hAnsi="Noto Sans CJK JP" w:eastAsia="Noto Sans CJK JP"/>
    </w:r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  <w:rPr>
      <w:rFonts w:ascii="Noto Sans CJK JP" w:hAnsi="Noto Sans CJK JP" w:eastAsia="Noto Sans CJK JP"/>
    </w:r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  <w:rPr>
      <w:rFonts w:ascii="Noto Sans CJK JP" w:hAnsi="Noto Sans CJK JP" w:eastAsia="Noto Sans CJK JP"/>
    </w:r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  <w:rPr>
      <w:rFonts w:ascii="Noto Sans CJK JP" w:hAnsi="Noto Sans CJK JP" w:eastAsia="Noto Sans CJK JP"/>
    </w:r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  <w:rPr>
      <w:rFonts w:ascii="Noto Sans CJK JP" w:hAnsi="Noto Sans CJK JP" w:eastAsia="Noto Sans CJK JP"/>
    </w:r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rFonts w:ascii="Noto Sans CJK JP" w:hAnsi="Noto Sans CJK JP" w:eastAsia="Noto Sans CJK JP"/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rFonts w:ascii="Noto Sans CJK JP" w:hAnsi="Noto Sans CJK JP" w:eastAsia="Noto Sans CJK JP"/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rFonts w:ascii="Noto Sans CJK JP" w:hAnsi="Noto Sans CJK JP" w:eastAsia="Noto Sans CJK JP"/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rFonts w:ascii="Noto Sans CJK JP" w:hAnsi="Noto Sans CJK JP" w:eastAsia="Noto Sans CJK JP"/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rFonts w:ascii="Noto Sans CJK JP" w:hAnsi="Noto Sans CJK JP" w:eastAsia="Noto Sans CJK JP"/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rFonts w:ascii="Noto Sans CJK JP" w:hAnsi="Noto Sans CJK JP" w:eastAsia="Noto Sans CJK JP"/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rFonts w:ascii="Noto Sans CJK JP" w:hAnsi="Noto Sans CJK JP" w:eastAsia="Noto Sans CJK JP"/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rPr>
      <w:rFonts w:ascii="Noto Sans CJK JP" w:hAnsi="Noto Sans CJK JP" w:eastAsia="Noto Sans CJK JP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rFonts w:ascii="Noto Sans CJK JP" w:hAnsi="Noto Sans CJK JP" w:eastAsia="Noto Sans CJK JP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rFonts w:ascii="Noto Sans CJK JP" w:hAnsi="Noto Sans CJK JP" w:eastAsia="Noto Sans CJK JP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rFonts w:ascii="Noto Sans CJK JP" w:hAnsi="Noto Sans CJK JP" w:eastAsia="Noto Sans CJK JP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rFonts w:ascii="Noto Sans CJK JP" w:hAnsi="Noto Sans CJK JP" w:eastAsia="Noto Sans CJK JP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rFonts w:ascii="Noto Sans CJK JP" w:hAnsi="Noto Sans CJK JP" w:eastAsia="Noto Sans CJK JP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rFonts w:ascii="Noto Sans CJK JP" w:hAnsi="Noto Sans CJK JP" w:eastAsia="Noto Sans CJK JP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rFonts w:ascii="Noto Sans CJK JP" w:hAnsi="Noto Sans CJK JP" w:eastAsia="Noto Sans CJK JP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rFonts w:ascii="Noto Sans CJK JP" w:hAnsi="Noto Sans CJK JP" w:eastAsia="Noto Sans CJK JP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rFonts w:ascii="Noto Sans CJK JP" w:hAnsi="Noto Sans CJK JP" w:eastAsia="Noto Sans CJK JP"/>
      <w:b/>
      <w:bCs/>
    </w:rPr>
  </w:style>
  <w:style w:type="character" w:styleId="134">
    <w:name w:val="Emphasis"/>
    <w:basedOn w:val="132"/>
    <w:qFormat/>
    <w:uiPriority w:val="20"/>
    <w:rPr>
      <w:rFonts w:ascii="Noto Sans CJK JP" w:hAnsi="Noto Sans CJK JP" w:eastAsia="Noto Sans CJK JP"/>
      <w:i/>
      <w:iCs/>
    </w:rPr>
  </w:style>
  <w:style w:type="character" w:customStyle="1" w:styleId="135">
    <w:name w:val="Header Char"/>
    <w:basedOn w:val="132"/>
    <w:link w:val="25"/>
    <w:uiPriority w:val="99"/>
    <w:rPr>
      <w:rFonts w:ascii="Noto Sans CJK JP" w:hAnsi="Noto Sans CJK JP" w:eastAsia="Noto Sans CJK JP"/>
    </w:rPr>
  </w:style>
  <w:style w:type="character" w:customStyle="1" w:styleId="136">
    <w:name w:val="Footer Char"/>
    <w:basedOn w:val="132"/>
    <w:link w:val="24"/>
    <w:uiPriority w:val="99"/>
    <w:rPr>
      <w:rFonts w:ascii="Noto Sans CJK JP" w:hAnsi="Noto Sans CJK JP" w:eastAsia="Noto Sans CJK JP"/>
    </w:rPr>
  </w:style>
  <w:style w:type="paragraph" w:styleId="137">
    <w:name w:val="No Spacing"/>
    <w:qFormat/>
    <w:uiPriority w:val="1"/>
    <w:pPr>
      <w:spacing w:after="0" w:line="240" w:lineRule="auto"/>
    </w:pPr>
    <w:rPr>
      <w:rFonts w:ascii="Noto Sans CJK JP" w:hAnsi="Noto Sans CJK JP" w:eastAsia="Noto Sans CJK JP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  <w:rPr>
      <w:rFonts w:ascii="Noto Sans CJK JP" w:hAnsi="Noto Sans CJK JP" w:eastAsia="Noto Sans CJK JP"/>
    </w:rPr>
  </w:style>
  <w:style w:type="character" w:customStyle="1" w:styleId="144">
    <w:name w:val="Body Text Char"/>
    <w:basedOn w:val="132"/>
    <w:link w:val="19"/>
    <w:uiPriority w:val="99"/>
    <w:rPr>
      <w:rFonts w:ascii="Noto Sans CJK JP" w:hAnsi="Noto Sans CJK JP" w:eastAsia="Noto Sans CJK JP"/>
    </w:rPr>
  </w:style>
  <w:style w:type="character" w:customStyle="1" w:styleId="145">
    <w:name w:val="Body Text 2 Char"/>
    <w:basedOn w:val="132"/>
    <w:link w:val="28"/>
    <w:uiPriority w:val="99"/>
    <w:rPr>
      <w:rFonts w:ascii="Noto Sans CJK JP" w:hAnsi="Noto Sans CJK JP" w:eastAsia="Noto Sans CJK JP"/>
    </w:rPr>
  </w:style>
  <w:style w:type="character" w:customStyle="1" w:styleId="146">
    <w:name w:val="Body Text 3 Char"/>
    <w:basedOn w:val="132"/>
    <w:link w:val="17"/>
    <w:uiPriority w:val="99"/>
    <w:rPr>
      <w:rFonts w:ascii="Noto Sans CJK JP" w:hAnsi="Noto Sans CJK JP" w:eastAsia="Noto Sans CJK JP"/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Noto Sans CJK JP" w:hAnsi="Noto Sans CJK JP" w:eastAsia="Noto Sans CJK JP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rFonts w:ascii="Noto Sans CJK JP" w:hAnsi="Noto Sans CJK JP" w:eastAsia="Noto Sans CJK JP"/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rFonts w:ascii="Noto Sans CJK JP" w:hAnsi="Noto Sans CJK JP" w:eastAsia="Noto Sans CJK JP"/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rFonts w:ascii="Noto Sans CJK JP" w:hAnsi="Noto Sans CJK JP" w:eastAsia="Noto Sans CJK JP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rFonts w:ascii="Noto Sans CJK JP" w:hAnsi="Noto Sans CJK JP" w:eastAsia="Noto Sans CJK JP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rFonts w:ascii="Noto Sans CJK JP" w:hAnsi="Noto Sans CJK JP" w:eastAsia="Noto Sans CJK JP"/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rFonts w:ascii="Noto Sans CJK JP" w:hAnsi="Noto Sans CJK JP" w:eastAsia="Noto Sans CJK JP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rFonts w:ascii="Noto Sans CJK JP" w:hAnsi="Noto Sans CJK JP" w:eastAsia="Noto Sans CJK JP"/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rFonts w:ascii="Noto Sans CJK JP" w:hAnsi="Noto Sans CJK JP" w:eastAsia="Noto Sans CJK JP"/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rFonts w:ascii="Noto Sans CJK JP" w:hAnsi="Noto Sans CJK JP" w:eastAsia="Noto Sans CJK JP"/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  <w:rPr>
      <w:rFonts w:ascii="Noto Sans CJK JP" w:hAnsi="Noto Sans CJK JP" w:eastAsia="Noto Sans CJK JP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1579</Words>
  <Characters>1999</Characters>
  <Lines>0</Lines>
  <Paragraphs>0</Paragraphs>
  <TotalTime>1</TotalTime>
  <ScaleCrop>false</ScaleCrop>
  <LinksUpToDate>false</LinksUpToDate>
  <CharactersWithSpaces>2122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WPS_1671339666</cp:lastModifiedBy>
  <dcterms:modified xsi:type="dcterms:W3CDTF">2026-07-15T02:17:46Z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eyJoZGlkIjoiMDc0N2Y5YTg4MmNjODNlZDQ3Y2VkMWFjNzRiNzJkZDYiLCJ1c2VySWQiOiIxNDUwODcyNDg4In0=</vt:lpwstr>
  </property>
  <property fmtid="{D5CDD505-2E9C-101B-9397-08002B2CF9AE}" pid="3" name="KSOProductBuildVer">
    <vt:lpwstr>2052-12.1.0.26895</vt:lpwstr>
  </property>
  <property fmtid="{D5CDD505-2E9C-101B-9397-08002B2CF9AE}" pid="4" name="ICV">
    <vt:lpwstr>6E1A62D2B7E847CFB86858C1451AA1F6_12</vt:lpwstr>
  </property>
</Properties>
</file>