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F2CAF">
      <w:pPr>
        <w:rPr>
          <w:rFonts w:hint="eastAsia" w:ascii="宋体" w:hAnsi="宋体"/>
          <w:color w:val="000000" w:themeColor="text1"/>
          <w:spacing w:val="40"/>
          <w:sz w:val="71"/>
          <w14:textFill>
            <w14:solidFill>
              <w14:schemeClr w14:val="tx1"/>
            </w14:solidFill>
          </w14:textFill>
        </w:rPr>
      </w:pPr>
    </w:p>
    <w:p w14:paraId="44947A85">
      <w:pPr>
        <w:jc w:val="center"/>
        <w:rPr>
          <w:rFonts w:hint="eastAsia" w:ascii="宋体" w:hAnsi="宋体"/>
          <w:spacing w:val="40"/>
          <w:sz w:val="71"/>
        </w:rPr>
      </w:pPr>
      <w:r>
        <w:rPr>
          <w:rFonts w:hint="eastAsia" w:ascii="Times New Roman" w:hAnsi="Times New Roman" w:eastAsia="华文中宋"/>
          <w:b/>
          <w:spacing w:val="40"/>
          <w:sz w:val="44"/>
        </w:rPr>
        <w:t xml:space="preserve"> </w:t>
      </w:r>
      <w:r>
        <w:rPr>
          <w:rFonts w:hint="eastAsia" w:ascii="Times New Roman" w:hAnsi="Times New Roman" w:eastAsia="华文中宋"/>
          <w:b/>
          <w:spacing w:val="40"/>
          <w:sz w:val="72"/>
          <w:szCs w:val="40"/>
        </w:rPr>
        <w:t>北京交通大学</w:t>
      </w:r>
    </w:p>
    <w:p w14:paraId="42ED3305">
      <w:pPr>
        <w:jc w:val="center"/>
        <w:rPr>
          <w:rFonts w:hint="eastAsia" w:ascii="宋体" w:hAnsi="宋体"/>
          <w:color w:val="FF0000"/>
          <w:spacing w:val="40"/>
          <w:sz w:val="30"/>
          <w:szCs w:val="30"/>
        </w:rPr>
      </w:pPr>
    </w:p>
    <w:p w14:paraId="6D329861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/>
          <w:b/>
          <w:color w:val="000000" w:themeColor="text1"/>
          <w:spacing w:val="282"/>
          <w:sz w:val="56"/>
          <w14:textFill>
            <w14:solidFill>
              <w14:schemeClr w14:val="tx1"/>
            </w14:solidFill>
          </w14:textFill>
        </w:rPr>
        <w:t xml:space="preserve"> 实验报告</w:t>
      </w:r>
    </w:p>
    <w:p w14:paraId="18191896">
      <w:pPr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63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4434"/>
      </w:tblGrid>
      <w:tr w14:paraId="03E06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3A96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专   业：</w:t>
            </w:r>
          </w:p>
        </w:tc>
        <w:tc>
          <w:tcPr>
            <w:tcW w:w="4434" w:type="dxa"/>
            <w:tcBorders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BA99B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软件工程</w:t>
            </w:r>
          </w:p>
        </w:tc>
      </w:tr>
      <w:tr w14:paraId="73265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8BBF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课程名称：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857A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计算机大类实训1</w:t>
            </w:r>
          </w:p>
        </w:tc>
      </w:tr>
      <w:tr w14:paraId="357F4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37DBC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班   级：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9F28A">
            <w:pPr>
              <w:jc w:val="center"/>
              <w:rPr>
                <w:rFonts w:hint="default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2503</w:t>
            </w:r>
          </w:p>
        </w:tc>
      </w:tr>
      <w:tr w14:paraId="04B50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5BD42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学   号：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7D70D">
            <w:pPr>
              <w:jc w:val="center"/>
              <w:rPr>
                <w:rFonts w:hint="default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25531435</w:t>
            </w:r>
          </w:p>
        </w:tc>
      </w:tr>
      <w:tr w14:paraId="39BEC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C2069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姓   名：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39D3B">
            <w:pPr>
              <w:jc w:val="center"/>
              <w:rPr>
                <w:rFonts w:hint="eastAsia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陈锐泽</w:t>
            </w:r>
          </w:p>
        </w:tc>
      </w:tr>
      <w:tr w14:paraId="2203B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15E0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辅导教师：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EDBFF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付梓焱</w:t>
            </w:r>
          </w:p>
        </w:tc>
      </w:tr>
    </w:tbl>
    <w:p w14:paraId="48C902E7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C1A863">
      <w:pPr>
        <w:jc w:val="both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3B008D88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/>
          <w:color w:val="000000" w:themeColor="text1"/>
          <w:spacing w:val="30"/>
          <w:sz w:val="22"/>
          <w14:textFill>
            <w14:solidFill>
              <w14:schemeClr w14:val="tx1"/>
            </w14:solidFill>
          </w14:textFill>
        </w:rPr>
        <w:t xml:space="preserve">            </w:t>
      </w:r>
    </w:p>
    <w:p w14:paraId="2B6A0374">
      <w:pPr>
        <w:ind w:firstLine="680" w:firstLineChars="200"/>
        <w:jc w:val="both"/>
        <w:rPr>
          <w:rFonts w:hint="eastAsia" w:ascii="仿宋" w:hAnsi="仿宋" w:eastAsia="仿宋" w:cs="仿宋"/>
          <w:b/>
          <w:color w:val="000000"/>
          <w:sz w:val="40"/>
        </w:rPr>
      </w:pPr>
      <w:r>
        <w:rPr>
          <w:rFonts w:hint="eastAsia" w:ascii="Times New Roman" w:hAnsi="Times New Roman" w:eastAsia="仿宋"/>
          <w:color w:val="000000" w:themeColor="text1"/>
          <w:spacing w:val="3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日期：7.15</w:t>
      </w:r>
      <w:r>
        <w:rPr>
          <w:rFonts w:hint="eastAsia" w:ascii="Times New Roman" w:hAnsi="Times New Roman" w:eastAsia="仿宋"/>
          <w:color w:val="000000" w:themeColor="text1"/>
          <w:spacing w:val="30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="Times New Roman" w:hAnsi="Times New Roman" w:eastAsia="仿宋"/>
          <w:color w:val="000000" w:themeColor="text1"/>
          <w:spacing w:val="3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eastAsia" w:ascii="Times New Roman" w:hAnsi="Times New Roman" w:eastAsia="仿宋"/>
          <w:color w:val="000000" w:themeColor="text1"/>
          <w:spacing w:val="30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仿宋"/>
          <w:color w:val="000000" w:themeColor="text1"/>
          <w:spacing w:val="3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Times New Roman" w:hAnsi="Times New Roman" w:eastAsia="仿宋"/>
          <w:color w:val="000000" w:themeColor="text1"/>
          <w:spacing w:val="30"/>
          <w:sz w:val="28"/>
          <w:szCs w:val="28"/>
          <w14:textFill>
            <w14:solidFill>
              <w14:schemeClr w14:val="tx1"/>
            </w14:solidFill>
          </w14:textFill>
        </w:rPr>
        <w:t>成绩：</w:t>
      </w:r>
      <w:r>
        <w:rPr>
          <w:rFonts w:hint="eastAsia" w:ascii="Times New Roman" w:hAnsi="Times New Roman" w:eastAsia="仿宋"/>
          <w:color w:val="000000" w:themeColor="text1"/>
          <w:spacing w:val="30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仿宋"/>
          <w:color w:val="000000" w:themeColor="text1"/>
          <w:spacing w:val="30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 w:eastAsia="仿宋"/>
          <w:color w:val="000000" w:themeColor="text1"/>
          <w:spacing w:val="30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仿宋"/>
          <w:color w:val="000000" w:themeColor="text1"/>
          <w:spacing w:val="30"/>
          <w:sz w:val="22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仿宋"/>
          <w:color w:val="000000" w:themeColor="text1"/>
          <w:spacing w:val="30"/>
          <w:sz w:val="22"/>
          <w14:textFill>
            <w14:solidFill>
              <w14:schemeClr w14:val="tx1"/>
            </w14:solidFill>
          </w14:textFill>
        </w:rPr>
        <w:t xml:space="preserve">     </w:t>
      </w:r>
    </w:p>
    <w:p w14:paraId="311805D2">
      <w:pPr>
        <w:spacing w:after="8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000000"/>
          <w:sz w:val="40"/>
        </w:rPr>
        <w:t>智能厨房安全监测与报警系统实验报告</w:t>
      </w:r>
    </w:p>
    <w:p w14:paraId="290B13B3">
      <w:pPr>
        <w:spacing w:after="24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555555"/>
          <w:sz w:val="22"/>
        </w:rPr>
        <w:t>综合场景实验：基于 STM32F407 的多传感器联动设计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36C5ED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2F4F7"/>
            <w:vAlign w:val="center"/>
          </w:tcPr>
          <w:p w14:paraId="2483F91B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实验平台</w:t>
            </w:r>
          </w:p>
        </w:tc>
        <w:tc>
          <w:tcPr>
            <w:tcW w:w="2412" w:type="dxa"/>
            <w:vAlign w:val="center"/>
          </w:tcPr>
          <w:p w14:paraId="09FADF90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青软集团智能物联鸿蒙全场景实验箱</w:t>
            </w:r>
          </w:p>
        </w:tc>
        <w:tc>
          <w:tcPr>
            <w:tcW w:w="2412" w:type="dxa"/>
            <w:shd w:val="clear" w:color="auto" w:fill="F2F4F7"/>
            <w:vAlign w:val="center"/>
          </w:tcPr>
          <w:p w14:paraId="4FCFA930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开发环境</w:t>
            </w:r>
          </w:p>
        </w:tc>
        <w:tc>
          <w:tcPr>
            <w:tcW w:w="2412" w:type="dxa"/>
            <w:vAlign w:val="center"/>
          </w:tcPr>
          <w:p w14:paraId="7FA5DAC0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Keil uVision5</w:t>
            </w:r>
          </w:p>
        </w:tc>
      </w:tr>
      <w:tr w14:paraId="293A7F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2F4F7"/>
            <w:vAlign w:val="center"/>
          </w:tcPr>
          <w:p w14:paraId="4D948953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主控芯片</w:t>
            </w:r>
          </w:p>
        </w:tc>
        <w:tc>
          <w:tcPr>
            <w:tcW w:w="2412" w:type="dxa"/>
            <w:vAlign w:val="center"/>
          </w:tcPr>
          <w:p w14:paraId="6596574C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STM32F407</w:t>
            </w:r>
          </w:p>
        </w:tc>
        <w:tc>
          <w:tcPr>
            <w:tcW w:w="2412" w:type="dxa"/>
            <w:shd w:val="clear" w:color="auto" w:fill="F2F4F7"/>
            <w:vAlign w:val="center"/>
          </w:tcPr>
          <w:p w14:paraId="0045B0C6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串口工具</w:t>
            </w:r>
          </w:p>
        </w:tc>
        <w:tc>
          <w:tcPr>
            <w:tcW w:w="2412" w:type="dxa"/>
            <w:vAlign w:val="center"/>
          </w:tcPr>
          <w:p w14:paraId="6AC3A948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QCOM_V1.6</w:t>
            </w:r>
          </w:p>
        </w:tc>
      </w:tr>
      <w:tr w14:paraId="7BE60D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F2F4F7"/>
            <w:vAlign w:val="center"/>
          </w:tcPr>
          <w:p w14:paraId="404850E1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实验类型</w:t>
            </w:r>
          </w:p>
        </w:tc>
        <w:tc>
          <w:tcPr>
            <w:tcW w:w="2412" w:type="dxa"/>
            <w:vAlign w:val="center"/>
          </w:tcPr>
          <w:p w14:paraId="735A868A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综合场景实验</w:t>
            </w:r>
          </w:p>
        </w:tc>
        <w:tc>
          <w:tcPr>
            <w:tcW w:w="2412" w:type="dxa"/>
            <w:shd w:val="clear" w:color="auto" w:fill="F2F4F7"/>
            <w:vAlign w:val="center"/>
          </w:tcPr>
          <w:p w14:paraId="38AEA10A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应用场景</w:t>
            </w:r>
          </w:p>
        </w:tc>
        <w:tc>
          <w:tcPr>
            <w:tcW w:w="2412" w:type="dxa"/>
            <w:vAlign w:val="center"/>
          </w:tcPr>
          <w:p w14:paraId="6A96D7B2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厨房安全监测与报警</w:t>
            </w:r>
          </w:p>
        </w:tc>
      </w:tr>
    </w:tbl>
    <w:p w14:paraId="3B3FB227">
      <w:pPr>
        <w:pStyle w:val="3"/>
        <w:spacing w:before="280" w:after="1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2E74B5"/>
          <w:sz w:val="32"/>
        </w:rPr>
        <w:t>一、实验场景与背景</w:t>
      </w:r>
    </w:p>
    <w:p w14:paraId="61D5F92E">
      <w:pPr>
        <w:spacing w:after="120" w:line="288" w:lineRule="auto"/>
        <w:ind w:firstLine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本次综合场景实验设想的是家庭厨房安全监测与报警场景。厨房中经常存在燃气灶、热源、油烟和密闭空间等因素，如果出现燃气泄漏、烟雾浓度升高或温度异常，而人员没有及时发现，可能会造成安全隐患。</w:t>
      </w:r>
    </w:p>
    <w:p w14:paraId="090A884C">
      <w:pPr>
        <w:spacing w:after="120" w:line="288" w:lineRule="auto"/>
        <w:ind w:firstLine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因此，本项目设计了一个基于 STM32F407 的智能厨房安全监测与报警系统。系统通过温湿度传感器和燃气/烟雾传感器采集厨房环境信息，再结合 LCD 显示、串口输出、蜂鸣器和 LED 声光报警，实现对厨房环境的实时监测和异常提醒。</w:t>
      </w:r>
    </w:p>
    <w:p w14:paraId="43B5384C">
      <w:pPr>
        <w:spacing w:after="120" w:line="288" w:lineRule="auto"/>
        <w:ind w:firstLine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本实验不是对之前单个基础实验的简单重复，而是在已有外设驱动基础上，围绕“厨房报警”这一具体应用场景，将多个传感器和外设进行联动，形成一个完整的小型物联网应用系统。</w:t>
      </w:r>
    </w:p>
    <w:p w14:paraId="2C90BCF4">
      <w:pPr>
        <w:pStyle w:val="3"/>
        <w:spacing w:before="280" w:after="1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2E74B5"/>
          <w:sz w:val="32"/>
        </w:rPr>
        <w:t>二、项目功能设计</w:t>
      </w:r>
    </w:p>
    <w:p w14:paraId="5CCF6FF3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温湿度检测功能：使用 DHT11 温湿度传感器采集厨房环境温度和湿度，用于判断环境温度是否异常。</w:t>
      </w:r>
    </w:p>
    <w:p w14:paraId="2D9E8CBF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燃气/烟雾检测功能：使用 MQ 系列燃气/烟雾传感器采集空气中的可燃气体或烟雾浓度变化。</w:t>
      </w:r>
    </w:p>
    <w:p w14:paraId="3F7CF67C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LCD 状态显示功能：通过 ILI9341 LCD 液晶屏显示系统名称、温度、湿度、MQ 检测值以及当前状态。</w:t>
      </w:r>
    </w:p>
    <w:p w14:paraId="5586C1E3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串口监测功能：通过 USART2 将实时数据和报警信息发送到电脑端，在 QCOM_V1.6 中进行观察和调试。</w:t>
      </w:r>
    </w:p>
    <w:p w14:paraId="60162EF8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声光报警功能：当温度或 MQ 检测值超过设定阈值时，系统控制 PA8 蜂鸣器鸣响，并点亮 PB5、PB0、PB1 三个 LED，实现异常状态提醒。</w:t>
      </w:r>
    </w:p>
    <w:p w14:paraId="7C5B2794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安全状态恢复功能：当检测值低于阈值时，系统关闭蜂鸣器和 LED，LCD 显示安全状态，串口继续输出实时检测数据。</w:t>
      </w:r>
    </w:p>
    <w:p w14:paraId="73F6066C">
      <w:pPr>
        <w:pStyle w:val="3"/>
        <w:spacing w:before="280" w:after="1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2E74B5"/>
          <w:sz w:val="32"/>
        </w:rPr>
        <w:t>三、使用硬件与软件环境</w:t>
      </w:r>
    </w:p>
    <w:tbl>
      <w:tblPr>
        <w:tblStyle w:val="32"/>
        <w:tblW w:w="0" w:type="auto"/>
        <w:jc w:val="center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32A387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</w:tcPr>
          <w:p w14:paraId="16FCB8D6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类别</w:t>
            </w:r>
          </w:p>
        </w:tc>
        <w:tc>
          <w:tcPr>
            <w:tcW w:w="3216" w:type="dxa"/>
            <w:shd w:val="clear" w:color="auto" w:fill="E8EEF5"/>
          </w:tcPr>
          <w:p w14:paraId="0ECF1D3E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名称</w:t>
            </w:r>
          </w:p>
        </w:tc>
        <w:tc>
          <w:tcPr>
            <w:tcW w:w="3216" w:type="dxa"/>
            <w:shd w:val="clear" w:color="auto" w:fill="E8EEF5"/>
          </w:tcPr>
          <w:p w14:paraId="561A38CF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作用</w:t>
            </w:r>
          </w:p>
        </w:tc>
      </w:tr>
      <w:tr w14:paraId="36803A3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3FC08642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主控模块</w:t>
            </w:r>
          </w:p>
        </w:tc>
        <w:tc>
          <w:tcPr>
            <w:tcW w:w="3216" w:type="dxa"/>
            <w:vAlign w:val="center"/>
          </w:tcPr>
          <w:p w14:paraId="094E4196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STM32F407 开发板</w:t>
            </w:r>
          </w:p>
        </w:tc>
        <w:tc>
          <w:tcPr>
            <w:tcW w:w="3216" w:type="dxa"/>
            <w:vAlign w:val="center"/>
          </w:tcPr>
          <w:p w14:paraId="279B9595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负责传感器数据采集、状态判断和外设控制</w:t>
            </w:r>
          </w:p>
        </w:tc>
      </w:tr>
      <w:tr w14:paraId="5510FB6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74C4FBB2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温湿度传感器</w:t>
            </w:r>
          </w:p>
        </w:tc>
        <w:tc>
          <w:tcPr>
            <w:tcW w:w="3216" w:type="dxa"/>
            <w:vAlign w:val="center"/>
          </w:tcPr>
          <w:p w14:paraId="411EFAED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DHT11</w:t>
            </w:r>
            <w:bookmarkStart w:id="0" w:name="_GoBack"/>
            <w:bookmarkEnd w:id="0"/>
          </w:p>
        </w:tc>
        <w:tc>
          <w:tcPr>
            <w:tcW w:w="3216" w:type="dxa"/>
            <w:vAlign w:val="center"/>
          </w:tcPr>
          <w:p w14:paraId="7FA0B480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采集厨房环境温度和湿度</w:t>
            </w:r>
          </w:p>
        </w:tc>
      </w:tr>
      <w:tr w14:paraId="4B7D7D7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701DD561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燃气/烟雾传感器</w:t>
            </w:r>
          </w:p>
        </w:tc>
        <w:tc>
          <w:tcPr>
            <w:tcW w:w="3216" w:type="dxa"/>
            <w:vAlign w:val="center"/>
          </w:tcPr>
          <w:p w14:paraId="5AA5E017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MQ 系列传感器</w:t>
            </w:r>
          </w:p>
        </w:tc>
        <w:tc>
          <w:tcPr>
            <w:tcW w:w="3216" w:type="dxa"/>
            <w:vAlign w:val="center"/>
          </w:tcPr>
          <w:p w14:paraId="7752900A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检测燃气、烟雾等气体浓度变化</w:t>
            </w:r>
          </w:p>
        </w:tc>
      </w:tr>
      <w:tr w14:paraId="2D28917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21637241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显示模块</w:t>
            </w:r>
          </w:p>
        </w:tc>
        <w:tc>
          <w:tcPr>
            <w:tcW w:w="3216" w:type="dxa"/>
            <w:vAlign w:val="center"/>
          </w:tcPr>
          <w:p w14:paraId="3FD03BB7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ILI9341 LCD 液晶屏</w:t>
            </w:r>
          </w:p>
        </w:tc>
        <w:tc>
          <w:tcPr>
            <w:tcW w:w="3216" w:type="dxa"/>
            <w:vAlign w:val="center"/>
          </w:tcPr>
          <w:p w14:paraId="3908C770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显示实时数据和系统状态</w:t>
            </w:r>
          </w:p>
        </w:tc>
      </w:tr>
      <w:tr w14:paraId="0C44CE6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27751EC7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报警模块</w:t>
            </w:r>
          </w:p>
        </w:tc>
        <w:tc>
          <w:tcPr>
            <w:tcW w:w="3216" w:type="dxa"/>
            <w:vAlign w:val="center"/>
          </w:tcPr>
          <w:p w14:paraId="739BF9BD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PA8 蜂鸣器</w:t>
            </w:r>
          </w:p>
        </w:tc>
        <w:tc>
          <w:tcPr>
            <w:tcW w:w="3216" w:type="dxa"/>
            <w:vAlign w:val="center"/>
          </w:tcPr>
          <w:p w14:paraId="2ACFCF0E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异常情况下进行声音报警</w:t>
            </w:r>
          </w:p>
        </w:tc>
      </w:tr>
      <w:tr w14:paraId="6E25DAA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21D9DB1D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指示模块</w:t>
            </w:r>
          </w:p>
        </w:tc>
        <w:tc>
          <w:tcPr>
            <w:tcW w:w="3216" w:type="dxa"/>
            <w:vAlign w:val="center"/>
          </w:tcPr>
          <w:p w14:paraId="6E94E91C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PB5、PB0、PB1 LED</w:t>
            </w:r>
          </w:p>
        </w:tc>
        <w:tc>
          <w:tcPr>
            <w:tcW w:w="3216" w:type="dxa"/>
            <w:vAlign w:val="center"/>
          </w:tcPr>
          <w:p w14:paraId="17439148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异常情况下进行灯光提示</w:t>
            </w:r>
          </w:p>
        </w:tc>
      </w:tr>
      <w:tr w14:paraId="7E28D13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3C018D35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串口通信</w:t>
            </w:r>
          </w:p>
        </w:tc>
        <w:tc>
          <w:tcPr>
            <w:tcW w:w="3216" w:type="dxa"/>
            <w:vAlign w:val="center"/>
          </w:tcPr>
          <w:p w14:paraId="03D99B1F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USART2 + QCOM_V1.6</w:t>
            </w:r>
          </w:p>
        </w:tc>
        <w:tc>
          <w:tcPr>
            <w:tcW w:w="3216" w:type="dxa"/>
            <w:vAlign w:val="center"/>
          </w:tcPr>
          <w:p w14:paraId="79725FD0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在电脑端观察实时数据和报警日志</w:t>
            </w:r>
          </w:p>
        </w:tc>
      </w:tr>
      <w:tr w14:paraId="26FDD59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6E4E6BDB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开发软件</w:t>
            </w:r>
          </w:p>
        </w:tc>
        <w:tc>
          <w:tcPr>
            <w:tcW w:w="3216" w:type="dxa"/>
            <w:vAlign w:val="center"/>
          </w:tcPr>
          <w:p w14:paraId="03CADA46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Keil uVision5</w:t>
            </w:r>
          </w:p>
        </w:tc>
        <w:tc>
          <w:tcPr>
            <w:tcW w:w="3216" w:type="dxa"/>
            <w:vAlign w:val="center"/>
          </w:tcPr>
          <w:p w14:paraId="013E59B6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完成代码编写、编译和下载</w:t>
            </w:r>
          </w:p>
        </w:tc>
      </w:tr>
    </w:tbl>
    <w:p w14:paraId="3805CA45">
      <w:pPr>
        <w:pStyle w:val="3"/>
        <w:spacing w:before="280" w:after="1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2E74B5"/>
          <w:sz w:val="32"/>
        </w:rPr>
        <w:t>四、项目用到的代码文件</w:t>
      </w:r>
    </w:p>
    <w:p w14:paraId="6A7381B3">
      <w:pPr>
        <w:spacing w:after="120" w:line="288" w:lineRule="auto"/>
        <w:ind w:firstLine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本项目在基础模板工程上进行整合开发，主要使用 USER、BSP、UTILS 等目录中的文件。各文件作用如下。</w:t>
      </w:r>
    </w:p>
    <w:tbl>
      <w:tblPr>
        <w:tblStyle w:val="32"/>
        <w:tblW w:w="0" w:type="auto"/>
        <w:jc w:val="center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9676E8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</w:tcPr>
          <w:p w14:paraId="0FB2CC6A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文件名</w:t>
            </w:r>
          </w:p>
        </w:tc>
        <w:tc>
          <w:tcPr>
            <w:tcW w:w="3216" w:type="dxa"/>
            <w:shd w:val="clear" w:color="auto" w:fill="E8EEF5"/>
          </w:tcPr>
          <w:p w14:paraId="4BE4047A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所属模块</w:t>
            </w:r>
          </w:p>
        </w:tc>
        <w:tc>
          <w:tcPr>
            <w:tcW w:w="3216" w:type="dxa"/>
            <w:shd w:val="clear" w:color="auto" w:fill="E8EEF5"/>
          </w:tcPr>
          <w:p w14:paraId="5F5C40CD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主要作用</w:t>
            </w:r>
          </w:p>
        </w:tc>
      </w:tr>
      <w:tr w14:paraId="7D6136B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01BE0872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main.c</w:t>
            </w:r>
          </w:p>
        </w:tc>
        <w:tc>
          <w:tcPr>
            <w:tcW w:w="3216" w:type="dxa"/>
            <w:vAlign w:val="center"/>
          </w:tcPr>
          <w:p w14:paraId="487277FC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USER</w:t>
            </w:r>
          </w:p>
        </w:tc>
        <w:tc>
          <w:tcPr>
            <w:tcW w:w="3216" w:type="dxa"/>
            <w:vAlign w:val="center"/>
          </w:tcPr>
          <w:p w14:paraId="2D308B3F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编写综合场景主逻辑，包括初始化、数据采集、阈值判断、LCD 显示、串口输出和报警控制</w:t>
            </w:r>
          </w:p>
        </w:tc>
      </w:tr>
      <w:tr w14:paraId="551037C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64249F6D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usart.c / usart.h</w:t>
            </w:r>
          </w:p>
        </w:tc>
        <w:tc>
          <w:tcPr>
            <w:tcW w:w="3216" w:type="dxa"/>
            <w:vAlign w:val="center"/>
          </w:tcPr>
          <w:p w14:paraId="04AA8402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BSP</w:t>
            </w:r>
          </w:p>
        </w:tc>
        <w:tc>
          <w:tcPr>
            <w:tcW w:w="3216" w:type="dxa"/>
            <w:vAlign w:val="center"/>
          </w:tcPr>
          <w:p w14:paraId="0C185E30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初始化 USART2，实现 printf 串口输出到 QCOM_V1.6</w:t>
            </w:r>
          </w:p>
        </w:tc>
      </w:tr>
      <w:tr w14:paraId="01A60D6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7DD801D5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dht11.c / dht11.h</w:t>
            </w:r>
          </w:p>
        </w:tc>
        <w:tc>
          <w:tcPr>
            <w:tcW w:w="3216" w:type="dxa"/>
            <w:vAlign w:val="center"/>
          </w:tcPr>
          <w:p w14:paraId="5292C250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BSP</w:t>
            </w:r>
          </w:p>
        </w:tc>
        <w:tc>
          <w:tcPr>
            <w:tcW w:w="3216" w:type="dxa"/>
            <w:vAlign w:val="center"/>
          </w:tcPr>
          <w:p w14:paraId="1FE4FCE9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完成 DHT11 温湿度传感器初始化与数据读取</w:t>
            </w:r>
          </w:p>
        </w:tc>
      </w:tr>
      <w:tr w14:paraId="3114A30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7C76264F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mq.c / mq.h</w:t>
            </w:r>
          </w:p>
        </w:tc>
        <w:tc>
          <w:tcPr>
            <w:tcW w:w="3216" w:type="dxa"/>
            <w:vAlign w:val="center"/>
          </w:tcPr>
          <w:p w14:paraId="2B906473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BSP</w:t>
            </w:r>
          </w:p>
        </w:tc>
        <w:tc>
          <w:tcPr>
            <w:tcW w:w="3216" w:type="dxa"/>
            <w:vAlign w:val="center"/>
          </w:tcPr>
          <w:p w14:paraId="4B0AC3F9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完成 MQ 传感器初始化与检测值读取</w:t>
            </w:r>
          </w:p>
        </w:tc>
      </w:tr>
      <w:tr w14:paraId="2CF1DF6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2C7835B8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lcd_ili9341.c / lcd_ili9341.h</w:t>
            </w:r>
          </w:p>
        </w:tc>
        <w:tc>
          <w:tcPr>
            <w:tcW w:w="3216" w:type="dxa"/>
            <w:vAlign w:val="center"/>
          </w:tcPr>
          <w:p w14:paraId="103C8CAC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BSP</w:t>
            </w:r>
          </w:p>
        </w:tc>
        <w:tc>
          <w:tcPr>
            <w:tcW w:w="3216" w:type="dxa"/>
            <w:vAlign w:val="center"/>
          </w:tcPr>
          <w:p w14:paraId="5FDCE012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完成 LCD 初始化、清屏、颜色设置和英文字符串显示</w:t>
            </w:r>
          </w:p>
        </w:tc>
      </w:tr>
      <w:tr w14:paraId="7DFBE8F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165B7BDF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lcd_fonts.c / lcd_fonts.h</w:t>
            </w:r>
          </w:p>
        </w:tc>
        <w:tc>
          <w:tcPr>
            <w:tcW w:w="3216" w:type="dxa"/>
            <w:vAlign w:val="center"/>
          </w:tcPr>
          <w:p w14:paraId="75B3FD0F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BSP</w:t>
            </w:r>
          </w:p>
        </w:tc>
        <w:tc>
          <w:tcPr>
            <w:tcW w:w="3216" w:type="dxa"/>
            <w:vAlign w:val="center"/>
          </w:tcPr>
          <w:p w14:paraId="77183BCE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提供 LCD 显示英文字符所需的字模数据</w:t>
            </w:r>
          </w:p>
        </w:tc>
      </w:tr>
      <w:tr w14:paraId="0168410F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4A542BA4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delay.c / delay.h</w:t>
            </w:r>
          </w:p>
        </w:tc>
        <w:tc>
          <w:tcPr>
            <w:tcW w:w="3216" w:type="dxa"/>
            <w:vAlign w:val="center"/>
          </w:tcPr>
          <w:p w14:paraId="729DC591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UTILS</w:t>
            </w:r>
          </w:p>
        </w:tc>
        <w:tc>
          <w:tcPr>
            <w:tcW w:w="3216" w:type="dxa"/>
            <w:vAlign w:val="center"/>
          </w:tcPr>
          <w:p w14:paraId="320D879E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提供毫秒级延时函数，用于传感器采样间隔控制</w:t>
            </w:r>
          </w:p>
        </w:tc>
      </w:tr>
      <w:tr w14:paraId="47834269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7DBA8A34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utils.c / utils.h</w:t>
            </w:r>
          </w:p>
        </w:tc>
        <w:tc>
          <w:tcPr>
            <w:tcW w:w="3216" w:type="dxa"/>
            <w:vAlign w:val="center"/>
          </w:tcPr>
          <w:p w14:paraId="2E3A0FE6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UTILS</w:t>
            </w:r>
          </w:p>
        </w:tc>
        <w:tc>
          <w:tcPr>
            <w:tcW w:w="3216" w:type="dxa"/>
            <w:vAlign w:val="center"/>
          </w:tcPr>
          <w:p w14:paraId="2FA6A7A4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提供工程中可能使用的基础工具函数</w:t>
            </w:r>
          </w:p>
        </w:tc>
      </w:tr>
      <w:tr w14:paraId="340E5EF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41C90F58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stm32f4xx_it.c</w:t>
            </w:r>
          </w:p>
        </w:tc>
        <w:tc>
          <w:tcPr>
            <w:tcW w:w="3216" w:type="dxa"/>
            <w:vAlign w:val="center"/>
          </w:tcPr>
          <w:p w14:paraId="3C8562FE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USER</w:t>
            </w:r>
          </w:p>
        </w:tc>
        <w:tc>
          <w:tcPr>
            <w:tcW w:w="3216" w:type="dxa"/>
            <w:vAlign w:val="center"/>
          </w:tcPr>
          <w:p w14:paraId="075D31A5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中断相关文件，本实验主流程中不重点修改</w:t>
            </w:r>
          </w:p>
        </w:tc>
      </w:tr>
    </w:tbl>
    <w:p w14:paraId="4AD07E37">
      <w:pPr>
        <w:pStyle w:val="3"/>
        <w:spacing w:before="280" w:after="1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2E74B5"/>
          <w:sz w:val="32"/>
        </w:rPr>
        <w:t>五、整体实现流程</w:t>
      </w:r>
    </w:p>
    <w:p w14:paraId="60B3D67D">
      <w:pPr>
        <w:spacing w:after="120" w:line="288" w:lineRule="auto"/>
        <w:ind w:firstLine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系统运行时首先完成各模块初始化，然后进入循环检测状态。每次循环中，程序依次读取 DHT11 温湿度数据和 MQ 传感器检测值，再将采集结果显示在 LCD 上，同时通过 USART2 输出到 QCOM_V1.6。随后程序根据设定阈值判断是否进入报警状态。</w:t>
      </w:r>
    </w:p>
    <w:p w14:paraId="1E04AB35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第一步：初始化串口、DHT11、MQ 传感器、LCD、蜂鸣器和 LED。</w:t>
      </w:r>
    </w:p>
    <w:p w14:paraId="02B7F027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第二步：读取 DHT11 传感器数据，获得温度和湿度。</w:t>
      </w:r>
    </w:p>
    <w:p w14:paraId="0623950A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第三步：读取 MQ 传感器检测值，获得当前燃气或烟雾浓度变化情况。</w:t>
      </w:r>
    </w:p>
    <w:p w14:paraId="2BDA1DAE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第四步：将温度、湿度、MQ 检测值显示到 LCD，同时通过串口输出到 QCOM_V1.6。</w:t>
      </w:r>
    </w:p>
    <w:p w14:paraId="68BECD0B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第五步：判断温度是否超过 TEMP_LIMIT，或者 MQ 检测值是否超过 MQ_LIMIT。</w:t>
      </w:r>
    </w:p>
    <w:p w14:paraId="0F77C068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第六步：如果超过阈值，则 LCD 显示 ALARM，蜂鸣器响，LED 点亮，并通过串口输出报警信息。</w:t>
      </w:r>
    </w:p>
    <w:p w14:paraId="0B058AEA">
      <w:pPr>
        <w:spacing w:after="80" w:line="276" w:lineRule="auto"/>
        <w:ind w:left="360" w:hanging="23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• 第七步：如果未超过阈值，则 LCD 显示 SAFE，蜂鸣器和 LED 关闭，系统继续监测。</w:t>
      </w:r>
    </w:p>
    <w:p w14:paraId="45D5AABF">
      <w:pPr>
        <w:spacing w:after="120" w:line="288" w:lineRule="auto"/>
        <w:ind w:firstLine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在本项目中，蜂鸣器连接在 PA8 引脚，采用低电平触发方式；LED 连接在 PB5、PB0、PB1 引脚，同样采用低电平点亮方式。因此程序在报警状态下输出低电平，在安全状态下输出高电平。</w:t>
      </w:r>
    </w:p>
    <w:p w14:paraId="2B41003F">
      <w:pPr>
        <w:pStyle w:val="3"/>
        <w:spacing w:before="280" w:after="1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2E74B5"/>
          <w:sz w:val="32"/>
        </w:rPr>
        <w:t>六、系统工作状态说明</w:t>
      </w:r>
    </w:p>
    <w:tbl>
      <w:tblPr>
        <w:tblStyle w:val="32"/>
        <w:tblW w:w="0" w:type="auto"/>
        <w:jc w:val="center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0C9A99C5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E8EEF5"/>
          </w:tcPr>
          <w:p w14:paraId="0CEFB87F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工作状态</w:t>
            </w:r>
          </w:p>
        </w:tc>
        <w:tc>
          <w:tcPr>
            <w:tcW w:w="2412" w:type="dxa"/>
            <w:shd w:val="clear" w:color="auto" w:fill="E8EEF5"/>
          </w:tcPr>
          <w:p w14:paraId="6DA51AF1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触发条件</w:t>
            </w:r>
          </w:p>
        </w:tc>
        <w:tc>
          <w:tcPr>
            <w:tcW w:w="2412" w:type="dxa"/>
            <w:shd w:val="clear" w:color="auto" w:fill="E8EEF5"/>
          </w:tcPr>
          <w:p w14:paraId="197B2CFF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系统显示</w:t>
            </w:r>
          </w:p>
        </w:tc>
        <w:tc>
          <w:tcPr>
            <w:tcW w:w="2412" w:type="dxa"/>
            <w:shd w:val="clear" w:color="auto" w:fill="E8EEF5"/>
          </w:tcPr>
          <w:p w14:paraId="6E518939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color w:val="1F4D78"/>
                <w:sz w:val="21"/>
              </w:rPr>
              <w:t>报警表现</w:t>
            </w:r>
          </w:p>
        </w:tc>
      </w:tr>
      <w:tr w14:paraId="6DEC1286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2848AE14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正常状态</w:t>
            </w:r>
          </w:p>
        </w:tc>
        <w:tc>
          <w:tcPr>
            <w:tcW w:w="2412" w:type="dxa"/>
            <w:vAlign w:val="center"/>
          </w:tcPr>
          <w:p w14:paraId="669B4EF0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温度低于阈值，MQ 检测值低于阈值</w:t>
            </w:r>
          </w:p>
        </w:tc>
        <w:tc>
          <w:tcPr>
            <w:tcW w:w="2412" w:type="dxa"/>
            <w:vAlign w:val="center"/>
          </w:tcPr>
          <w:p w14:paraId="19E10BB7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LCD 显示 SAFE，QCOM 输出实时数据</w:t>
            </w:r>
          </w:p>
        </w:tc>
        <w:tc>
          <w:tcPr>
            <w:tcW w:w="2412" w:type="dxa"/>
            <w:vAlign w:val="center"/>
          </w:tcPr>
          <w:p w14:paraId="50103D3C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蜂鸣器关闭，LED 熄灭</w:t>
            </w:r>
          </w:p>
        </w:tc>
      </w:tr>
      <w:tr w14:paraId="579F18B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59495039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报警状态</w:t>
            </w:r>
          </w:p>
        </w:tc>
        <w:tc>
          <w:tcPr>
            <w:tcW w:w="2412" w:type="dxa"/>
            <w:vAlign w:val="center"/>
          </w:tcPr>
          <w:p w14:paraId="3ED41B84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温度超过阈值，或 MQ 检测值超过阈值</w:t>
            </w:r>
          </w:p>
        </w:tc>
        <w:tc>
          <w:tcPr>
            <w:tcW w:w="2412" w:type="dxa"/>
            <w:vAlign w:val="center"/>
          </w:tcPr>
          <w:p w14:paraId="009D31F8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LCD 显示 ALARM，QCOM 输出 Warning 信息</w:t>
            </w:r>
          </w:p>
        </w:tc>
        <w:tc>
          <w:tcPr>
            <w:tcW w:w="2412" w:type="dxa"/>
            <w:vAlign w:val="center"/>
          </w:tcPr>
          <w:p w14:paraId="0D0BF31C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蜂鸣器鸣响，LED 点亮</w:t>
            </w:r>
          </w:p>
        </w:tc>
      </w:tr>
      <w:tr w14:paraId="096107E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10CA01E0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传感器异常</w:t>
            </w:r>
          </w:p>
        </w:tc>
        <w:tc>
          <w:tcPr>
            <w:tcW w:w="2412" w:type="dxa"/>
            <w:vAlign w:val="center"/>
          </w:tcPr>
          <w:p w14:paraId="74ACB690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DHT11 读取失败</w:t>
            </w:r>
          </w:p>
        </w:tc>
        <w:tc>
          <w:tcPr>
            <w:tcW w:w="2412" w:type="dxa"/>
            <w:vAlign w:val="center"/>
          </w:tcPr>
          <w:p w14:paraId="0293DDC5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LCD 显示 DHT11 Read Error</w:t>
            </w:r>
          </w:p>
        </w:tc>
        <w:tc>
          <w:tcPr>
            <w:tcW w:w="2412" w:type="dxa"/>
            <w:vAlign w:val="center"/>
          </w:tcPr>
          <w:p w14:paraId="7ADC5E2C">
            <w:pPr>
              <w:spacing w:after="0" w:line="264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1"/>
              </w:rPr>
              <w:t>串口输出读取错误信息</w:t>
            </w:r>
          </w:p>
        </w:tc>
      </w:tr>
    </w:tbl>
    <w:p w14:paraId="2AC43E3B">
      <w:pPr>
        <w:pStyle w:val="3"/>
        <w:spacing w:before="280" w:after="1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2E74B5"/>
          <w:sz w:val="32"/>
        </w:rPr>
        <w:t>七、结果展示</w:t>
      </w:r>
    </w:p>
    <w:p w14:paraId="104E2EAB">
      <w:pPr>
        <w:spacing w:after="120" w:line="288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本部分用于粘贴实验运行截图和演示照片。建议至少粘贴 LCD 显示界面、QCOM 串口输出界面、报警状态现象三类图片。</w:t>
      </w:r>
    </w:p>
    <w:p w14:paraId="5F74F526">
      <w:pPr>
        <w:spacing w:before="120" w:after="8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1"/>
        </w:rPr>
        <w:t>图1 LCD 实时数据显示界面</w:t>
      </w:r>
    </w:p>
    <w:tbl>
      <w:tblPr>
        <w:tblStyle w:val="32"/>
        <w:tblW w:w="0" w:type="auto"/>
        <w:jc w:val="center"/>
        <w:tblBorders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  <w:insideH w:val="single" w:color="A6A6A6" w:sz="8" w:space="0"/>
          <w:insideV w:val="single" w:color="A6A6A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8E07987">
        <w:tblPrEx>
          <w:tblBorders>
            <w:top w:val="single" w:color="A6A6A6" w:sz="8" w:space="0"/>
            <w:left w:val="single" w:color="A6A6A6" w:sz="8" w:space="0"/>
            <w:bottom w:val="single" w:color="A6A6A6" w:sz="8" w:space="0"/>
            <w:right w:val="single" w:color="A6A6A6" w:sz="8" w:space="0"/>
            <w:insideH w:val="single" w:color="A6A6A6" w:sz="8" w:space="0"/>
            <w:insideV w:val="single" w:color="A6A6A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vAlign w:val="center"/>
          </w:tcPr>
          <w:p w14:paraId="0D50BA80">
            <w:pPr>
              <w:spacing w:after="0" w:line="264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drawing>
                <wp:inline distT="0" distB="0" distL="114300" distR="114300">
                  <wp:extent cx="2552065" cy="3404870"/>
                  <wp:effectExtent l="0" t="0" r="635" b="11430"/>
                  <wp:docPr id="1" name="图片 1" descr="168142ef15332870bc09a805b79072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68142ef15332870bc09a805b79072a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34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drawing>
                <wp:inline distT="0" distB="0" distL="114300" distR="114300">
                  <wp:extent cx="2540635" cy="3387725"/>
                  <wp:effectExtent l="0" t="0" r="12065" b="3175"/>
                  <wp:docPr id="2" name="图片 2" descr="1a2f84e7394fb15d8c92fefc59992b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a2f84e7394fb15d8c92fefc59992be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635" cy="338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</w:p>
        </w:tc>
      </w:tr>
    </w:tbl>
    <w:p w14:paraId="635AA75B">
      <w:pPr>
        <w:spacing w:after="80"/>
        <w:rPr>
          <w:rFonts w:hint="eastAsia" w:ascii="仿宋" w:hAnsi="仿宋" w:eastAsia="仿宋" w:cs="仿宋"/>
        </w:rPr>
      </w:pPr>
    </w:p>
    <w:p w14:paraId="4E3A8C51">
      <w:pPr>
        <w:spacing w:before="120" w:after="8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1"/>
        </w:rPr>
        <w:t>图2 QCOM_V1.6 串口输出结果</w:t>
      </w:r>
    </w:p>
    <w:tbl>
      <w:tblPr>
        <w:tblStyle w:val="32"/>
        <w:tblW w:w="0" w:type="auto"/>
        <w:jc w:val="center"/>
        <w:tblBorders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  <w:insideH w:val="single" w:color="A6A6A6" w:sz="8" w:space="0"/>
          <w:insideV w:val="single" w:color="A6A6A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9290355">
        <w:tblPrEx>
          <w:tblBorders>
            <w:top w:val="single" w:color="A6A6A6" w:sz="8" w:space="0"/>
            <w:left w:val="single" w:color="A6A6A6" w:sz="8" w:space="0"/>
            <w:bottom w:val="single" w:color="A6A6A6" w:sz="8" w:space="0"/>
            <w:right w:val="single" w:color="A6A6A6" w:sz="8" w:space="0"/>
            <w:insideH w:val="single" w:color="A6A6A6" w:sz="8" w:space="0"/>
            <w:insideV w:val="single" w:color="A6A6A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vAlign w:val="center"/>
          </w:tcPr>
          <w:p w14:paraId="42AC7332">
            <w:pPr>
              <w:spacing w:after="0" w:line="264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drawing>
                <wp:inline distT="0" distB="0" distL="114300" distR="114300">
                  <wp:extent cx="2948940" cy="3932555"/>
                  <wp:effectExtent l="0" t="0" r="10160" b="4445"/>
                  <wp:docPr id="3" name="图片 3" descr="434275cbc17fc4c933a0f76c67d05c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434275cbc17fc4c933a0f76c67d05cb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940" cy="393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</w:p>
        </w:tc>
      </w:tr>
    </w:tbl>
    <w:p w14:paraId="4B7DA36F">
      <w:pPr>
        <w:spacing w:after="80"/>
        <w:rPr>
          <w:rFonts w:hint="eastAsia" w:ascii="仿宋" w:hAnsi="仿宋" w:eastAsia="仿宋" w:cs="仿宋"/>
        </w:rPr>
      </w:pPr>
    </w:p>
    <w:p w14:paraId="03E03B86">
      <w:pPr>
        <w:spacing w:before="120" w:after="8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21"/>
        </w:rPr>
        <w:t>图3 温度或燃气异常时的声光报警现象</w:t>
      </w:r>
    </w:p>
    <w:tbl>
      <w:tblPr>
        <w:tblStyle w:val="32"/>
        <w:tblW w:w="0" w:type="auto"/>
        <w:jc w:val="center"/>
        <w:tblBorders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  <w:insideH w:val="single" w:color="A6A6A6" w:sz="8" w:space="0"/>
          <w:insideV w:val="single" w:color="A6A6A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41FF491">
        <w:tblPrEx>
          <w:tblBorders>
            <w:top w:val="single" w:color="A6A6A6" w:sz="8" w:space="0"/>
            <w:left w:val="single" w:color="A6A6A6" w:sz="8" w:space="0"/>
            <w:bottom w:val="single" w:color="A6A6A6" w:sz="8" w:space="0"/>
            <w:right w:val="single" w:color="A6A6A6" w:sz="8" w:space="0"/>
            <w:insideH w:val="single" w:color="A6A6A6" w:sz="8" w:space="0"/>
            <w:insideV w:val="single" w:color="A6A6A6" w:sz="8" w:space="0"/>
          </w:tblBorders>
        </w:tblPrEx>
        <w:trPr>
          <w:jc w:val="center"/>
        </w:trPr>
        <w:tc>
          <w:tcPr>
            <w:tcW w:w="9648" w:type="dxa"/>
            <w:vAlign w:val="center"/>
          </w:tcPr>
          <w:p w14:paraId="09A7A444">
            <w:pPr>
              <w:spacing w:after="0" w:line="264" w:lineRule="auto"/>
              <w:jc w:val="center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color w:val="808080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lang w:eastAsia="zh-CN"/>
              </w:rPr>
              <w:drawing>
                <wp:inline distT="0" distB="0" distL="114300" distR="114300">
                  <wp:extent cx="3228340" cy="4305300"/>
                  <wp:effectExtent l="0" t="0" r="10160" b="0"/>
                  <wp:docPr id="4" name="图片 4" descr="1a2f84e7394fb15d8c92fefc59992b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a2f84e7394fb15d8c92fefc59992be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34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921E0">
      <w:pPr>
        <w:spacing w:after="80"/>
        <w:rPr>
          <w:rFonts w:hint="eastAsia" w:ascii="仿宋" w:hAnsi="仿宋" w:eastAsia="仿宋" w:cs="仿宋"/>
        </w:rPr>
      </w:pPr>
    </w:p>
    <w:p w14:paraId="7B9225B3">
      <w:pPr>
        <w:pStyle w:val="3"/>
        <w:spacing w:before="280" w:after="14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color w:val="2E74B5"/>
          <w:sz w:val="32"/>
        </w:rPr>
        <w:t>八、心得体会</w:t>
      </w:r>
    </w:p>
    <w:p w14:paraId="03A6EDF3">
      <w:pPr>
        <w:spacing w:after="120" w:line="288" w:lineRule="auto"/>
        <w:ind w:firstLine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通过本次综合场景实验，我对 STM32F407 基础外设和传感器模块之间的配合有了更完整的理解。之前的实验大多是单独验证一个模块，例如单独读取 DHT11、单独读取 MQ 传感器、单独使用 LCD 或串口。本次实验则要求围绕一个实际场景进行设计，需要考虑多个模块之间的数据流和控制关系。</w:t>
      </w:r>
    </w:p>
    <w:p w14:paraId="604D13F1">
      <w:pPr>
        <w:spacing w:after="120" w:line="288" w:lineRule="auto"/>
        <w:ind w:firstLine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在实现过程中，我进一步熟悉了 Keil uVision5 工程的文件组织方式，理解了 main.c 主逻辑与各个驱动文件之间的关系。DHT11 和 MQ 负责采集环境信息，LCD 和 QCOM 负责展示信息，蜂鸣器和 LED 负责报警反馈。整个系统体现了物联网设备中“感知、判断、反馈”的基本工作流程。</w:t>
      </w:r>
    </w:p>
    <w:p w14:paraId="55DECB45">
      <w:pPr>
        <w:spacing w:after="120" w:line="288" w:lineRule="auto"/>
        <w:ind w:firstLine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本次实验也让我意识到，综合实验的重点不只是让各个模块分别运行，而是要把它们放到一个合理的应用场景中进行联动。例如厨房报警系统中，温度和燃气检测并不是孤立的功能，而是共同服务于安全监测这一目标。通过这次实验，我对嵌入式项目从场景分析、功能设计、硬件选择到程序整合的过程有了更清晰的认识。</w:t>
      </w:r>
    </w:p>
    <w:p w14:paraId="2B5CE779">
      <w:pPr>
        <w:spacing w:after="120" w:line="288" w:lineRule="auto"/>
        <w:ind w:firstLine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后续如果继续完善该系统，可以进一步加入自动开窗、风扇排气、手机端提醒、数据存储等功能，使其更接近真实的智能家居安全监测设备。</w:t>
      </w:r>
    </w:p>
    <w:sectPr>
      <w:footerReference r:id="rId5" w:type="default"/>
      <w:pgSz w:w="12240" w:h="15840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J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42D9E">
    <w:pPr>
      <w:pStyle w:val="24"/>
      <w:jc w:val="center"/>
    </w:pPr>
    <w:r>
      <w:rPr>
        <w:rFonts w:ascii="宋体" w:hAnsi="宋体" w:eastAsia="宋体"/>
        <w:color w:val="808080"/>
        <w:sz w:val="18"/>
      </w:rPr>
      <w:t>智能厨房安全监测与报警系统实验报告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344365"/>
    <w:rsid w:val="11B3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JP" w:hAnsi="Noto Sans CJK JP" w:eastAsia="Noto Sans CJK JP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Noto Sans CJK JP" w:hAnsi="Noto Sans CJK JP" w:eastAsia="Noto Sans CJK JP"/>
    </w:rPr>
  </w:style>
  <w:style w:type="table" w:default="1" w:styleId="32">
    <w:name w:val="Normal Table"/>
    <w:semiHidden/>
    <w:unhideWhenUsed/>
    <w:uiPriority w:val="99"/>
    <w:rPr>
      <w:rFonts w:ascii="Noto Sans CJK JP" w:hAnsi="Noto Sans CJK JP" w:eastAsia="Noto Sans CJK JP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Noto Sans CJK JP" w:hAnsi="Noto Sans CJK JP" w:eastAsia="Noto Sans CJK JP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 CJK JP" w:hAnsi="Noto Sans CJK JP" w:eastAsia="Noto Sans CJK JP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ans CJK JP" w:hAnsi="Noto Sans CJK JP" w:eastAsia="Noto Sans CJK JP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JP" w:hAnsi="Noto Sans CJK JP" w:eastAsia="Noto Sans CJK JP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Noto Sans CJK JP" w:hAnsi="Noto Sans CJK JP" w:eastAsia="Noto Sans CJK JP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Noto Sans CJK JP" w:hAnsi="Noto Sans CJK JP" w:eastAsia="Noto Sans CJK JP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Noto Sans CJK JP" w:hAnsi="Noto Sans CJK JP" w:eastAsia="Noto Sans CJK JP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Noto Sans CJK JP" w:hAnsi="Noto Sans CJK JP" w:eastAsia="Noto Sans CJK JP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JP" w:hAnsi="Noto Sans CJK JP" w:eastAsia="Noto Sans CJK JP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Noto Sans CJK JP" w:hAnsi="Noto Sans CJK JP" w:eastAsia="Noto Sans CJK JP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Noto Sans CJK JP" w:hAnsi="Noto Sans CJK JP" w:eastAsia="Noto Sans CJK JP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Noto Sans CJK JP" w:hAnsi="Noto Sans CJK JP" w:eastAsia="Noto Sans CJK JP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Noto Sans CJK JP" w:hAnsi="Noto Sans CJK JP" w:eastAsia="Noto Sans CJK JP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Noto Sans CJK JP" w:hAnsi="Noto Sans CJK JP" w:eastAsia="Noto Sans CJK JP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Noto Sans CJK JP" w:hAnsi="Noto Sans CJK JP" w:eastAsia="Noto Sans CJK JP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Noto Sans CJK JP" w:hAnsi="Noto Sans CJK JP" w:eastAsia="Noto Sans CJK JP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Noto Sans CJK JP" w:hAnsi="Noto Sans CJK JP" w:eastAsia="Noto Sans CJK JP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Noto Sans CJK JP" w:hAnsi="Noto Sans CJK JP" w:eastAsia="Noto Sans CJK JP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Noto Sans CJK JP" w:hAnsi="Noto Sans CJK JP" w:eastAsia="Noto Sans CJK JP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ascii="Noto Sans CJK JP" w:hAnsi="Noto Sans CJK JP" w:eastAsia="Noto Sans CJK JP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Noto Sans CJK JP" w:hAnsi="Noto Sans CJK JP" w:eastAsia="Noto Sans CJK JP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Noto Sans CJK JP" w:hAnsi="Noto Sans CJK JP" w:eastAsia="Noto Sans CJK JP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Noto Sans CJK JP" w:hAnsi="Noto Sans CJK JP" w:eastAsia="Noto Sans CJK JP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Noto Sans CJK JP" w:hAnsi="Noto Sans CJK JP" w:eastAsia="Noto Sans CJK JP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Noto Sans CJK JP" w:hAnsi="Noto Sans CJK JP" w:eastAsia="Noto Sans CJK JP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Noto Sans CJK JP" w:hAnsi="Noto Sans CJK JP" w:eastAsia="Noto Sans CJK JP"/>
      <w:b/>
      <w:bCs/>
    </w:rPr>
  </w:style>
  <w:style w:type="character" w:styleId="134">
    <w:name w:val="Emphasis"/>
    <w:basedOn w:val="132"/>
    <w:qFormat/>
    <w:uiPriority w:val="20"/>
    <w:rPr>
      <w:rFonts w:ascii="Noto Sans CJK JP" w:hAnsi="Noto Sans CJK JP" w:eastAsia="Noto Sans CJK JP"/>
      <w:i/>
      <w:iCs/>
    </w:rPr>
  </w:style>
  <w:style w:type="character" w:customStyle="1" w:styleId="135">
    <w:name w:val="Header Char"/>
    <w:basedOn w:val="132"/>
    <w:link w:val="25"/>
    <w:uiPriority w:val="99"/>
    <w:rPr>
      <w:rFonts w:ascii="Noto Sans CJK JP" w:hAnsi="Noto Sans CJK JP" w:eastAsia="Noto Sans CJK JP"/>
    </w:rPr>
  </w:style>
  <w:style w:type="character" w:customStyle="1" w:styleId="136">
    <w:name w:val="Footer Char"/>
    <w:basedOn w:val="132"/>
    <w:link w:val="24"/>
    <w:uiPriority w:val="99"/>
    <w:rPr>
      <w:rFonts w:ascii="Noto Sans CJK JP" w:hAnsi="Noto Sans CJK JP" w:eastAsia="Noto Sans CJK JP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Noto Sans CJK JP" w:hAnsi="Noto Sans CJK JP" w:eastAsia="Noto Sans CJK JP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Noto Sans CJK JP" w:hAnsi="Noto Sans CJK JP" w:eastAsia="Noto Sans CJK JP"/>
    </w:rPr>
  </w:style>
  <w:style w:type="character" w:customStyle="1" w:styleId="144">
    <w:name w:val="Body Text Char"/>
    <w:basedOn w:val="132"/>
    <w:link w:val="19"/>
    <w:uiPriority w:val="99"/>
    <w:rPr>
      <w:rFonts w:ascii="Noto Sans CJK JP" w:hAnsi="Noto Sans CJK JP" w:eastAsia="Noto Sans CJK JP"/>
    </w:rPr>
  </w:style>
  <w:style w:type="character" w:customStyle="1" w:styleId="145">
    <w:name w:val="Body Text 2 Char"/>
    <w:basedOn w:val="132"/>
    <w:link w:val="28"/>
    <w:uiPriority w:val="99"/>
    <w:rPr>
      <w:rFonts w:ascii="Noto Sans CJK JP" w:hAnsi="Noto Sans CJK JP" w:eastAsia="Noto Sans CJK JP"/>
    </w:rPr>
  </w:style>
  <w:style w:type="character" w:customStyle="1" w:styleId="146">
    <w:name w:val="Body Text 3 Char"/>
    <w:basedOn w:val="132"/>
    <w:link w:val="17"/>
    <w:uiPriority w:val="99"/>
    <w:rPr>
      <w:rFonts w:ascii="Noto Sans CJK JP" w:hAnsi="Noto Sans CJK JP" w:eastAsia="Noto Sans CJK JP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Noto Sans CJK JP" w:hAnsi="Noto Sans CJK JP" w:eastAsia="Noto Sans CJK JP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Noto Sans CJK JP" w:hAnsi="Noto Sans CJK JP" w:eastAsia="Noto Sans CJK JP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ascii="Noto Sans CJK JP" w:hAnsi="Noto Sans CJK JP" w:eastAsia="Noto Sans CJK JP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Noto Sans CJK JP" w:hAnsi="Noto Sans CJK JP" w:eastAsia="Noto Sans CJK JP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Noto Sans CJK JP" w:hAnsi="Noto Sans CJK JP" w:eastAsia="Noto Sans CJK JP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Noto Sans CJK JP" w:hAnsi="Noto Sans CJK JP" w:eastAsia="Noto Sans CJK JP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Noto Sans CJK JP" w:hAnsi="Noto Sans CJK JP" w:eastAsia="Noto Sans CJK JP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Noto Sans CJK JP" w:hAnsi="Noto Sans CJK JP" w:eastAsia="Noto Sans CJK JP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Noto Sans CJK JP" w:hAnsi="Noto Sans CJK JP" w:eastAsia="Noto Sans CJK JP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2266</Words>
  <Characters>2791</Characters>
  <Lines>0</Lines>
  <Paragraphs>0</Paragraphs>
  <TotalTime>4</TotalTime>
  <ScaleCrop>false</ScaleCrop>
  <LinksUpToDate>false</LinksUpToDate>
  <CharactersWithSpaces>3048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WPS_1671339666</cp:lastModifiedBy>
  <dcterms:modified xsi:type="dcterms:W3CDTF">2026-07-15T03:08:53Z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eyJoZGlkIjoiMDc0N2Y5YTg4MmNjODNlZDQ3Y2VkMWFjNzRiNzJkZDYiLCJ1c2VySWQiOiIxNDUwODcyNDg4In0=</vt:lpwstr>
  </property>
  <property fmtid="{D5CDD505-2E9C-101B-9397-08002B2CF9AE}" pid="3" name="KSOProductBuildVer">
    <vt:lpwstr>2052-12.1.0.26895</vt:lpwstr>
  </property>
  <property fmtid="{D5CDD505-2E9C-101B-9397-08002B2CF9AE}" pid="4" name="ICV">
    <vt:lpwstr>6E1A62D2B7E847CFB86858C1451AA1F6_12</vt:lpwstr>
  </property>
</Properties>
</file>