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F3460"/>
          <w:sz w:val="22"/>
        </w:rPr>
        <w:t>LIVRABLE 06</w:t>
      </w:r>
    </w:p>
    <w:p/>
    <w:p>
      <w:pPr>
        <w:jc w:val="center"/>
      </w:pPr>
      <w:r>
        <w:rPr>
          <w:rFonts w:ascii="Calibri" w:hAnsi="Calibri"/>
          <w:b/>
          <w:color w:val="1A1A2E"/>
          <w:sz w:val="48"/>
        </w:rPr>
        <w:t>Plan de Sécurité &amp; Conformité</w:t>
      </w:r>
    </w:p>
    <w:p/>
    <w:p>
      <w:pPr>
        <w:jc w:val="center"/>
      </w:pPr>
      <w:r>
        <w:rPr>
          <w:rFonts w:ascii="Calibri" w:hAnsi="Calibri"/>
          <w:color w:val="0F3460"/>
          <w:sz w:val="24"/>
        </w:rPr>
        <w:t>PCI-DSS v4.0 | GDPR | CCPA | SOC 2 Type II</w:t>
      </w:r>
    </w:p>
    <w:p/>
    <w:p/>
    <w:p>
      <w:pPr>
        <w:jc w:val="center"/>
      </w:pPr>
      <w:r>
        <w:rPr>
          <w:rFonts w:ascii="Calibri" w:hAnsi="Calibri"/>
          <w:i/>
          <w:color w:val="888888"/>
          <w:sz w:val="20"/>
        </w:rPr>
        <w:t>Stripe Data Architecture — Dossier de Certification</w:t>
      </w:r>
    </w:p>
    <w:p>
      <w:r>
        <w:br w:type="page"/>
      </w:r>
    </w:p>
    <w:p>
      <w:pPr>
        <w:spacing w:before="280" w:after="80"/>
        <w:pBdr>
          <w:bottom w:val="single" w:sz="4" w:space="1" w:color="1A1A2E"/>
        </w:pBdr>
      </w:pPr>
      <w:r>
        <w:rPr>
          <w:rFonts w:ascii="Calibri" w:hAnsi="Calibri"/>
          <w:b/>
          <w:color w:val="1A1A2E"/>
          <w:sz w:val="28"/>
        </w:rPr>
        <w:t>PLAN DE SÉCURITÉ &amp; CONFORMITÉ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Réglementation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Périmètre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Exigences Clés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PCI-DSS v4.0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Tous les environnements données titulaires de cartes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Tokenisation, pas de stockage PAN, segmentation réseau, tests de pénétration</w:t>
            </w:r>
          </w:p>
        </w:tc>
      </w:tr>
      <w:tr>
        <w:tc>
          <w:tcPr>
            <w:tcW w:type="dxa" w:w="3135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GDPR</w:t>
            </w:r>
          </w:p>
        </w:tc>
        <w:tc>
          <w:tcPr>
            <w:tcW w:type="dxa" w:w="3135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Données clients UE</w:t>
            </w:r>
          </w:p>
        </w:tc>
        <w:tc>
          <w:tcPr>
            <w:tcW w:type="dxa" w:w="3135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Droit à l'effacement, minimisation données, registre DPA, notification violation 72h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CCPA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Résidents Californie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Droit à la connaissance, suppression, opt-out de la vente</w:t>
            </w:r>
          </w:p>
        </w:tc>
      </w:tr>
      <w:tr>
        <w:tc>
          <w:tcPr>
            <w:tcW w:type="dxa" w:w="3135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SOC 2 Type II</w:t>
            </w:r>
          </w:p>
        </w:tc>
        <w:tc>
          <w:tcPr>
            <w:tcW w:type="dxa" w:w="3135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Tous les systèmes Stripe</w:t>
            </w:r>
          </w:p>
        </w:tc>
        <w:tc>
          <w:tcPr>
            <w:tcW w:type="dxa" w:w="3135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Disponibilité, Confidentialité, Critères de confiance Sécurité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0F3460"/>
          <w:sz w:val="24"/>
        </w:rPr>
        <w:t>1. Chiffrement des Données</w:t>
      </w:r>
    </w:p>
    <w:p>
      <w:pPr>
        <w:spacing w:before="160" w:after="40"/>
      </w:pPr>
      <w:r>
        <w:rPr>
          <w:rFonts w:ascii="Calibri" w:hAnsi="Calibri"/>
          <w:b/>
          <w:i/>
          <w:color w:val="1A1A2E"/>
          <w:sz w:val="22"/>
        </w:rPr>
        <w:t>1.1 Au Repos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Système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Méthode de Chiffrement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PostgreSQL OLTP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AES-256 via chiffrement disque cloud + chiffrement colonne pour PII (pgcrypto)</w:t>
            </w:r>
          </w:p>
        </w:tc>
      </w:tr>
      <w:tr>
        <w:tc>
          <w:tcPr>
            <w:tcW w:type="dxa" w:w="4703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BigQuery DWH</w:t>
            </w:r>
          </w:p>
        </w:tc>
        <w:tc>
          <w:tcPr>
            <w:tcW w:type="dxa" w:w="4703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Google-managed CMEK (AES-256-GCM) + clés gérées client via Cloud KMS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MongoDB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Moteur de stockage chiffré (WiredTiger + AES) + CSFLE pour PII</w:t>
            </w:r>
          </w:p>
        </w:tc>
      </w:tr>
      <w:tr>
        <w:tc>
          <w:tcPr>
            <w:tcW w:type="dxa" w:w="4703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Redis</w:t>
            </w:r>
          </w:p>
        </w:tc>
        <w:tc>
          <w:tcPr>
            <w:tcW w:type="dxa" w:w="4703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Redis TLS + données en mémoire jamais persistées sur disque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Kafka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Chiffrement niveau topic via Confluent Schema Registry + chiffrement enveloppe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/>
          <w:color w:val="1A1A2E"/>
          <w:sz w:val="22"/>
        </w:rPr>
        <w:t>1.2 En Transit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Tous les services enforced TLS 1.3 minimum.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mTLS (mutual TLS) requis pour communication service-à-service.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Gestion certificats via HashiCorp Vault PKI.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Endpoints publics: TLS 1.2+ avec headers HSTS.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/>
          <w:color w:val="1A1A2E"/>
          <w:sz w:val="22"/>
        </w:rPr>
        <w:t>1.3 Gestion des Clés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KMS Principal: HashiCorp Vault (on-prem) + AWS KMS / Google Cloud KMS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Politique de rotation des clés: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Clés de chiffrement de données: rotation 90 jours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Clés API: rotation 365 jours avec révocation immédiate sur compromission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Clés de compte de service: rotation 30 jours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Clés de tokenisation PAN: annuelle + rotation sur incident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Tokenisation PAN: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Numéros de carte bruts ne touchent jamais la couche applicative Stripe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Tokenisé via vault conforme PCI (Spreedly / HSM interne)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last4 uniquement stocké dans table payment_method PostgreSQL</w:t>
      </w:r>
    </w:p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0F3460"/>
          <w:sz w:val="24"/>
        </w:rPr>
        <w:t>2. Contrôle d'Accès (RBAC + ABAC)</w:t>
      </w:r>
    </w:p>
    <w:p>
      <w:pPr>
        <w:spacing w:before="160" w:after="40"/>
      </w:pPr>
      <w:r>
        <w:rPr>
          <w:rFonts w:ascii="Calibri" w:hAnsi="Calibri"/>
          <w:b/>
          <w:i/>
          <w:color w:val="1A1A2E"/>
          <w:sz w:val="22"/>
        </w:rPr>
        <w:t>2.1 Rôles PostgreSQL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-- Analyste lecture seule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CREATE ROLE analyst_readonly;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GRANT SELECT ON transaction, customer, merchant TO analyst_readonly;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REVOKE SELECT ON transaction(ip_address), customer(email, phone) FROM analyst_readonly;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-- Les analystes voient les PII masquées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-- Processeur de paiement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CREATE ROLE payment_processor;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GRANT SELECT, INSERT ON transaction TO payment_processor;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GRANT SELECT ON payment_method, customer, currency TO payment_processor;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-- Enquêteur fraude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CREATE ROLE fraud_investigator;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GRANT SELECT ON transaction, fraud_indicator, customer, geolocation TO fraud_investigator;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GRANT UPDATE (resolved, resolved_by, resolved_at) ON fraud_indicator TO fraud_investigator;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-- Comptes de service (application)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CREATE ROLE svc_payment_gateway;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GRANT INSERT ON transaction, geolocation TO svc_payment_gateway;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GRANT SELECT ON merchant, customer, payment_method, currency TO svc_payment_gateway;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CREATE ROLE svc_fraud_engine;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GRANT SELECT ON transaction, fraud_indicator TO svc_fraud_engine;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GRANT INSERT ON fraud_indicator TO svc_fraud_engine;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/>
          <w:color w:val="1A1A2E"/>
          <w:sz w:val="22"/>
        </w:rPr>
        <w:t>2.2 IAM BigQuery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# terraform/iam_bigquery.tf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roles: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role: roles/bigquery.dataViewer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members: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- group:bi-analysts@stripe.com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condition: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title: "Pas d'accès PII"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expression: &gt;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resource.name.startsWith('projects/stripe-prod/datasets/dwh/tables/fact')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role: roles/bigquery.dataEditor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members: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- serviceAccount:airflow-etl@stripe-prod.iam.gserviceaccount.com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condition: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title: "Service ETL uniquement"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expression: "resource.name.startsWith('projects/stripe-prod/datasets/staging')"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- role: roles/bigquery.admin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members: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- group:data-engineers@stripe.com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condition: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title: "Requiert MFA"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expression: "request.auth.claims.iam_mfa_authenticated == true"</w:t>
      </w:r>
    </w:p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0F3460"/>
          <w:sz w:val="24"/>
        </w:rPr>
        <w:t>3. Journalisation d'Audit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# Tous les événements d'audit vont vers un store append-only immuable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AUDIT_EVENTS = [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"user.login", "user.login_failed", "user.mfa_bypass_attempt",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"data.read_pii",           # toute lecture d'email, téléphone, IP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"data.export",             # tout téléchargement de données &gt; 1000 lignes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"transaction.status_change",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"fraud_indicator.resolved",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"customer.deleted",        # effacement GDPR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"role.granted", "role.revoked",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"config.changed", "key.rotated", "key.accessed",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]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# Le log d'audit est écrit vers: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# 1. Table audit_log PostgreSQL (opérationnel, rétention 2 ans)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# 2. Google Cloud Logging -&gt; BigQuery audit dataset (conformité, 7 ans)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# 3. SIEM (Splunk / Datadog Security) pour alertes temps réel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-- Immuabilite PostgreSQL: append-only enforced par trigger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CREATE OR REPLACE RULE no_update_audit AS ON UPDATE TO audit_log DO INSTEAD NOTHING;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CREATE OR REPLACE RULE no_delete_audit AS ON DELETE TO audit_log DO INSTEAD NOTHING;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-- GCS (export BigQuery): Object Lock activé -- stockage WORM</w:t>
      </w:r>
    </w:p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0F3460"/>
          <w:sz w:val="24"/>
        </w:rPr>
        <w:t>4. Service d'Effacement GDPR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# gdpr_service.py -- Workflow Droit à l'Effacement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>class GDPRErasureService: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"""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Orchestre le droit à l'effacement sur tous les systèmes.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Déclenché par demande client ; complété dans 30 jours (GDPR Art. 17).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"""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def process_erasure_request(self, customer_id: str) -&gt; dict: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erasure_log = {"customer_id": customer_id, "systems": {}}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# 1. PostgreSQL OLTP -- soft delete + nullification PII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self.pg_client.execute("""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UPDATE customer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SET email='deleted_'||customer_id||'@erased.stripe.com',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    name='ERASED', phone=NULL, deleted_at=NOW()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WHERE customer_id = %s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""", [customer_id])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erasure_log["systems"]["postgres"] = "erased"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# 2. MongoDB -- supprimer champs PII, garder shell analytics anonymisé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self.mongo_db.sessions.update_many(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{"customer_id": customer_id},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{"$unset": {"geo.ip": "", "device.user_agent": ""},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 "$set":   {"customer_id": "ERASED"}}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erasure_log["systems"]["mongodb"] = "erased"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# 3. BigQuery -- pseudonymiser (remplacer customer_id par hash)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self.bq_client.query(f"""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UPDATE dwh.dim_customer SET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    customer_id=TO_HEX(SHA256('{customer_id}')),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    customer_name='ERASED', email='erased@stripe.com', is_current=FALSE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WHERE customer_id = '{customer_id}'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""")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erasure_log["systems"]["bigquery"] = "pseudonymized"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# 4. Redis -- suppression immédiate des clés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self.redis.delete(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f"stripe:session:{customer_id}",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f"stripe:fraud_cache:{customer_id}",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    f"stripe:geo:{customer_id}"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erasure_log["systems"]["redis"] = "deleted"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# 5. Journaliser l'effacement (conservé comme preuve de conformité)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self.audit_logger.log("customer.gdpr_erased", customer_id, erasure_log)</w:t>
      </w:r>
    </w:p>
    <w:p>
      <w:pPr>
        <w:spacing w:before="0" w:after="0"/>
        <w:ind w:left="283"/>
        <w:shd w:val="clear" w:color="auto" w:fill="F0F2F5"/>
      </w:pPr>
      <w:r>
        <w:rPr>
          <w:rFonts w:ascii="Courier New" w:hAnsi="Courier New"/>
          <w:color w:val="1A1A2E"/>
          <w:sz w:val="17"/>
        </w:rPr>
        <w:t xml:space="preserve">        return erasure_log</w:t>
      </w:r>
    </w:p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0F3460"/>
          <w:sz w:val="24"/>
        </w:rPr>
        <w:t>5. Matrice de Contrôles de Sécurité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Contrôle</w:t>
            </w:r>
          </w:p>
        </w:tc>
        <w:tc>
          <w:tcPr>
            <w:tcW w:type="dxa" w:w="188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OLTP</w:t>
            </w:r>
          </w:p>
        </w:tc>
        <w:tc>
          <w:tcPr>
            <w:tcW w:type="dxa" w:w="188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OLAP</w:t>
            </w:r>
          </w:p>
        </w:tc>
        <w:tc>
          <w:tcPr>
            <w:tcW w:type="dxa" w:w="188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NoSQL</w:t>
            </w:r>
          </w:p>
        </w:tc>
        <w:tc>
          <w:tcPr>
            <w:tcW w:type="dxa" w:w="188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Pipeline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Chiffrement au repos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AES-256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CMEK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WiredTiger+CSFLE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Enveloppe enc</w:t>
            </w:r>
          </w:p>
        </w:tc>
      </w:tr>
      <w:tr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Chiffrement en transit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TLS 1.3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TLS 1.3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TLS 1.3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mTLS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Contrôle d'accès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RBAC (pg roles)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IAM + Column ACL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Rôles MongoDB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Comptes service</w:t>
            </w:r>
          </w:p>
        </w:tc>
      </w:tr>
      <w:tr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Journalisation audit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Trigger -&gt; audit_log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Cloud Logging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MongoDB Audit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Logs Airflow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Masquage données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pg_crypto PII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DLP niveau colonne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Masque projection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Masqué transit</w:t>
            </w:r>
          </w:p>
        </w:tc>
      </w:tr>
      <w:tr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Rotation clés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90 jours DEK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90 jours CMEK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90 jours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90 jours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Isolation réseau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VPC + SG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VPC Service Controls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VPC + SG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mTLS mesh</w:t>
            </w:r>
          </w:p>
        </w:tc>
      </w:tr>
      <w:tr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Tests pénétration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Trimestriel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Trimestriel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Trimestriel</w:t>
            </w:r>
          </w:p>
        </w:tc>
        <w:tc>
          <w:tcPr>
            <w:tcW w:type="dxa" w:w="1881"/>
            <w:shd w:val="clear" w:color="auto" w:fill="F4F5F7"/>
          </w:tcPr>
          <w:p>
            <w:r>
              <w:rPr>
                <w:rFonts w:ascii="Calibri" w:hAnsi="Calibri"/>
                <w:sz w:val="18"/>
              </w:rPr>
              <w:t>Trimestriel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Scan vulnérabilités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Quotidien (Trivy)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Quotidien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Quotidien (Snyk)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