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DB954"/>
          <w:sz w:val="64"/>
          <w:szCs w:val="64"/>
        </w:rPr>
        <w:t xml:space="preserve">🎧  SPOTIFY</w:t>
      </w:r>
    </w:p>
    <w:p>
      <w:pPr>
        <w:spacing w:after="120" w:before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Évaluation de la Maturité des Données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2DC7"/>
          <w:sz w:val="28"/>
          <w:szCs w:val="28"/>
        </w:rPr>
        <w:t xml:space="preserve">Certification AIA — Bloc 1 Gouvernance des Données (Version 2)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Référentiel DMBOK v3 — 10 dimensions — Score global : 2.3/5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Kevin Rochet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Jedha Bootcamp — Mai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Partis-pris et méthodologie</w:t>
      </w:r>
    </w:p>
    <w:p>
      <w:pPr>
        <w:pBdr>
          <w:bottom w:val="single" w:color="1DB954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0.1 Sources utilisées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Cette évaluation repose exclusivement sur des données publiquement accessibles. Elle ne bénéficie d'aucun accès interne à Spotify ni à ses systèmes d'information. Les sources mobilisées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Rapports annuels et communiqués financiers Spotify (2021-2024)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Décision de l'autorité de protection des données suédoise (IMY) — amende RGPD 2023 (5,4 M€)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Documentation technique publique Spotify Engineering Blog (data mesh, Kafka, Backstage)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Analyses sectorielles : Gartner Data &amp; Analytics, IDC Data Management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Rapports réglementaires CCPA (California AG), PCI Security Standards Council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Publications académiques sur la gouvernance des données dans le streaming musical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0.2 Limites de l'évaluation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L'absence d'accès aux systèmes internes de Spotify implique les limites suivantes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scores attribués sont des estimations fondées sur des signaux externes (incidents publics, sanctions réglementaires, pratiques déclarées)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 capacités internes non divulguées pourraient améliorer certains scores (notamment Architecture et Sécurité)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L'évaluation adopte une posture délibérément prudente : en l'absence de preuve d'une pratique mature, le score bas est privilégié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0.3 Grille de maturité DMBOK v3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L'évaluation s'appuie sur le modèle de maturité Data Management Maturity (DMM) issu du DMBOK v3 (DAMA International, 2017), décliné sur 5 niveaux 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Initial / Ad hoc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Pratiques informelles, réactives, non documentées. Dépendance aux individus.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Réactif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émergents mais inconsistants. Actions déclenchées par incidents.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Proactif / Défini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définis et documentés. Gouvernance formalisée en cours de déploiement.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Géré / Mesuré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mesurés par KPIs. Amélioration continue systématique.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B954"/>
                <w:sz w:val="19"/>
                <w:szCs w:val="19"/>
              </w:rPr>
              <w:t xml:space="preserve">Optimisé / Efficient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Excellence opérationnelle, automatisation, innovation data-driven.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0.4 Périmètre d'évaluation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 dimensions de gestion des données ont été évaluées, couvrant l'ensemble du cycle de vie de la donnée (POSMAD : Plan, Obtain, Store &amp; Share, Maintain, Apply, Dispose)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Gouvernance, Qualité, Architecture, Conformité, Usage &amp; Accessibilité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Sécurité, Littératie, Intégration, Analytics &amp; BI, Métadonnées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Contexte : Spotify en chiffres</w:t>
      </w:r>
    </w:p>
    <w:p>
      <w:pPr>
        <w:pBdr>
          <w:bottom w:val="single" w:color="1DB954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Spotify est la plateforme de streaming musical leader mondial, avec les caractéristiques suivantes au Q1 2026 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Enjeu pour la gouvernance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Utilisateurs actifs mensuels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602 millions (dont 236M Premium)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&amp; conformité RGPD/CCPA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Marchés opérationnels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184 pays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Multi-réglementation, souveraineté des données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Volume d'événements temps réel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500 milliards d'événements/jour (Kafka)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Qualité, intégration, architecture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Employés data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&gt; 1 000 profils data (Engineers, Scientists)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Littératie, gouvernance des rôles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Sanction RGPD (2023)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5,4 M€ (IMY, Suède)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Conformité, gouvernance formelle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cloud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Google Cloud Platform + 700+ microservices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Architecture, sécurité, intégration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combinaison d'une échelle mondiale, d'un volume de données exceptionnel et d'une sanction réglementaire récente crée un contexte d'urgence pour la mise en place d'un programme de gouvernance des données structuré.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Synthèse des scores de maturité</w:t>
      </w:r>
    </w:p>
    <w:p>
      <w:pPr>
        <w:pBdr>
          <w:bottom w:val="single" w:color="1DB954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tableau ci-dessous présente le profil de maturité de Spotify sur les 10 dimensions évaluées. La visualisation en barres permet d'identifier visuellement les domaines prioritaires.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2000"/>
        <w:gridCol w:w="1500"/>
        <w:gridCol w:w="22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de maturité (1 → 5)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 d'action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Gouvernance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██░░░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Qualité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██░░░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Architecture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67E22"/>
                <w:sz w:val="22"/>
                <w:szCs w:val="22"/>
              </w:rPr>
              <w:t xml:space="preserve">███░░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MODÉRÉE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Conformité (RGPD, CCPA, PCI-DSS)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67E22"/>
                <w:sz w:val="22"/>
                <w:szCs w:val="22"/>
              </w:rPr>
              <w:t xml:space="preserve">███░░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MODÉRÉE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Usage &amp; Accessibilité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██░░░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Sécurité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67E22"/>
                <w:sz w:val="22"/>
                <w:szCs w:val="22"/>
              </w:rPr>
              <w:t xml:space="preserve">███░░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MODÉRÉE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Littératie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██░░░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Intégration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██░░░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Analytics &amp; Business Intelligence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67E22"/>
                <w:sz w:val="22"/>
                <w:szCs w:val="22"/>
              </w:rPr>
              <w:t xml:space="preserve">███░░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MODÉRÉE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Métadonnées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█░░░░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CRITIQUE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global de maturité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48"/>
                <w:szCs w:val="48"/>
              </w:rPr>
              <w:t xml:space="preserve">2.3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Stade : Réactif</w:t>
            </w:r>
          </w:p>
        </w:tc>
        <w:tc>
          <w:tcPr>
            <w:tcW w:type="dxa" w:w="4680"/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Interprétation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D0000"/>
                <w:sz w:val="19"/>
                <w:szCs w:val="19"/>
              </w:rPr>
              <w:t xml:space="preserve">Spotify présente des capacités techniques avancées mais une gouvernance formelle insuffisante. Les processus de gestion des données sont réactifs plutôt que proactifs, exposant l'entreprise à des risques réglementaires significatifs.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Analyse détaillée par dimension</w:t>
      </w:r>
    </w:p>
    <w:p>
      <w:pPr>
        <w:pBdr>
          <w:bottom w:val="single" w:color="1DB954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tableau suivant détaille, pour chaque dimension, les forces observées, les faiblesses identifiées et les actions prioritaires recommandées.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300"/>
        <w:gridCol w:w="23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Faiblesses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d'action prioritaire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Gouvernance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Culture data-driven reconnue, équipes analytiques dédiées, DPO nommé depuis 2018.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Absence de CDO officiel, pas de Data Council formel. Politiques documentées insuffisantes — sanction RGPD de 5,4 M€ prononcée en 2023 par l'IMY (Suède). Comité de gouvernance non constitué.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Nommer un CDO, créer un Data Governance Council pluridisciplinaire, formaliser les politiques de rétention et d'accès d'ici 6 mois.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Qualité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Données comportementales de streaming très précises pour les algorithmes. Profils utilisateurs enrichis (600M+ comptes).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Incohérences critiques sur les métadonnées musicales (titres, ISRC, genres, artistes) selon les labels et distributeurs. Absence de règles de validation formelles. Données incomplètes pour 30%+ des artistes indépendants.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Déployer Ataccama ONE pour le profiling et les règles de qualité automatisées ; instaurer un score de qualité (DQ Score) par dataset.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Architecture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Architecture data mesh pionnière, GCP, Kafka (500 Mds événements/jour), architecture événementielle mature. 700+ microservices.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Complexité de gouvernance dans un modèle décentralisé, dette technique sur des pipelines hérités, data lineage non systématiquement documenté entre squads.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Généraliser les data contracts (Avro/Protobuf) entre équipes ; déployer DataHub pour le lineage de bout en bout.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Conformité (RGPD, CCPA, PCI-DSS)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DPO nommé, politiques de confidentialité publiées, gestion du consentement opérationnelle dans les marchés principaux.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Amende RGPD 2023 (5,4 M€) pour manque de transparence sur les finalités de traitement. Exposition CCPA pour 50M+ utilisateurs californiens. Contrôles PCI-DSS à renforcer dans plusieurs marchés.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Déployer OneTrust pour automatiser les demandes DSR (SLA 30 jours), réaliser un audit CCPA et PCI-DSS annuel avec certification externe.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Usage &amp; Accessibilité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Expériences data grand public (Wrapped, Radio), API publique Spotify for Developers, outils BI disponibles (Looker, Tableau).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Silos importants entre squads produit limitant la réutilisation transversale. Accès lent aux données pour équipes non-techniques. Absence de data catalog centralisé documenté.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Déployer Alation comme data catalog centralisé ; créer un portail self-service pour les équipes métier avec SLA d'accès &lt; 24h.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Sécurité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Chiffrement TLS 1.3 en transit, principe du moindre privilège appliqué, audit logs sur les accès sensibles, conformité ISO 27001 en cours.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Comptes régulièrement ciblés par credential stuffing (2021, 2022, 2023). Gestion des permissions API tierces (développeurs) insuffisante. Pas de SIEM centralisé documenté.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Rendre le MFA obligatoire pour tous les comptes, déployer Splunk comme SIEM temps réel, auditer les permissions des 400k+ applications tierces.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Littératie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Équipes data techniques de très haut niveau (Data Scientists, Engineers). Fort recrutement data (&gt; 1 000 employés data).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Compétences data très inégales entre équipes techniques et équipes métier (Marketing, RH, Finance, Legal). Aucun programme de formation formalisé. Pas de certification interne data literacy.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Créer un cursus Data Literacy gradué (3 niveaux) pour équipes non-techniques ; certifier des Data Champions par squad.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Intégration des 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Data mesh permettant une intégration distribuée par domaine, Kafka et Apache Flink pour le streaming temps réel.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Intégration des données partenaires (labels, distributeurs, régies pub) complexe et non standardisée. Absence de data contracts formels inter-équipes. Fragmentation des référentiels entre produits (Free, Premium, Podcast).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Standardiser les interfaces via des data contracts (format Avro) et un registre de schémas centralisé (Confluent Schema Registry).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Analytics &amp; Business Intelligence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Algorithmes de recommandation de classe mondiale, A/B testing systématique, Spotify Wrapped, Spotify for Artists temps réel.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Maturité BI insuffisante pour les fonctions support (RH, Finance, Legal). Certains dashboards encore trop techniques pour les décideurs non-data. Absence de gouvernance des rapports (définitions métriques contradictoires).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Étendre les capacités BI self-service via Power BI aux fonctions support ; créer un glossaire métier centralisé des métriques clés.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Métadonnées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1/5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18"/>
                <w:szCs w:val="18"/>
              </w:rPr>
              <w:t xml:space="preserve">Métadonnées musicales partiellement structurées via les flux des labels et distributeurs (DDEX).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0000"/>
                <w:sz w:val="18"/>
                <w:szCs w:val="18"/>
              </w:rPr>
              <w:t xml:space="preserve">Absence totale de catalogue de métadonnées interne. Pas de Data Dictionary formalisé. Métadonnées des datasets internes non documentées. Aucune gouvernance des définitions métier. Lineage des métadonnées inexistant.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Déployer Alation pour le catalogage des métadonnées ; créer un Data Dictionary partagé ; assigner des Data Stewards responsables de la documentation par domaine.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Les 10 défis de gouvernance identifiés</w:t>
      </w:r>
    </w:p>
    <w:p>
      <w:pPr>
        <w:pBdr>
          <w:bottom w:val="single" w:color="1DB954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 la base de l'évaluation des 10 dimensions, 10 défis majeurs ont été identifiés, classés par ordre de priorité 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500"/>
        <w:gridCol w:w="1300"/>
        <w:gridCol w:w="16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 de gouvernance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impactée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Absence de structure de gouvernance formelle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de CDO ni Data Council ; politiques non documentées — sanction IMY 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CRITIQUE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Gouvernance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Métadonnées non gérées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catalogue, Data Dictionary absent, lineage inexistant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CRITIQUE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Métadonnées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Conformité multi-réglementaire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RGPD (amende 2023), CCPA (CA), PCI-DSS (184 marchés)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ÉLEVÉE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Conformité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Qualité des métadonnées musicales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Incohérences labels/distributeurs → biais algorithme de recommandation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ÉLEVÉE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Qualité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Silos de données inter-squads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contracts non standardisés, réutilisation transversale limitée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ÉLEVÉE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Intégration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Accessibilité données équipes métier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Absence de data catalog centralisé, accès lent pour non-techniques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17"/>
                <w:szCs w:val="17"/>
              </w:rPr>
              <w:t xml:space="preserve">MODÉRÉE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Usage &amp; Accès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Littératie data inégale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 écart tech vs. équipes métier, aucun programme de formation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17"/>
                <w:szCs w:val="17"/>
              </w:rPr>
              <w:t xml:space="preserve">MODÉRÉE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Littératie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Sécurité des comptes &amp; API tiers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stuffing récurrent, permissions API développeurs insuffisantes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17"/>
                <w:szCs w:val="17"/>
              </w:rPr>
              <w:t xml:space="preserve">MODÉRÉE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Sécurité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Gouvernance BI &amp; définitions métriques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Métriques contradictoires entre équipes, dashboards peu accessibles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17"/>
                <w:szCs w:val="17"/>
              </w:rPr>
              <w:t xml:space="preserve">MODÉRÉE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 &amp; BI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Lineage et traçabilité des données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lineage non documenté entre microservices et pipelines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17"/>
                <w:szCs w:val="17"/>
              </w:rPr>
              <w:t xml:space="preserve">MODÉRÉE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Recommandations stratégiques</w:t>
      </w:r>
    </w:p>
    <w:p>
      <w:pPr>
        <w:pBdr>
          <w:bottom w:val="single" w:color="1DB954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5.1 Actions immédiates (0-3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Nommer un Chief Data Officer (CDO) rattaché au COMEX avec budget dédié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Constituer un Comité de Gouvernance des Données (CDO + DPO + CISO + représentants métier)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Lancer un audit de conformité RGPD complet sur la base de la décision IMY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Initier le déploiement d'Alation comme data catalog pour les datasets prioritaires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5.2 Actions à court terme (3-6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Déployer Ataccama ONE pour la qualité des données (profiling automatisé sur les métadonnées musicales)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en place OneTrust pour la gestion des droits utilisateurs et le registre des traitements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Formaliser les data contracts entre les squads produit (format Avro/Protobuf)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Lancer la première session de formation Data Literacy pour les équipes non-techniques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C2DC7"/>
          <w:sz w:val="28"/>
          <w:szCs w:val="28"/>
        </w:rPr>
        <w:t xml:space="preserve">5.3 Actions à moyen terme (6-12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Déployer Splunk comme SIEM centralisé pour la surveillance de sécurité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un Data Dictionary partagé couvrant 80%+ des datasets critiques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Certifier 50+ Data Champions répartis dans toutes les squads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Atteindre la conformité CCPA complète avec audit externe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Annexe A — Définitions des niveaux de maturité DMBOK v3</w:t>
      </w:r>
    </w:p>
    <w:p>
      <w:pPr>
        <w:pBdr>
          <w:bottom w:val="single" w:color="1DB954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Initial / Ad hoc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Pratiques informelles, réactives, non documentées. Dépendance aux individus.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Réactif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émergents mais inconsistants. Actions déclenchées par incidents.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Proactif / Défini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définis et documentés. Gouvernance formalisée en cours de déploiement.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Géré / Mesuré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Processus mesurés par KPIs. Amélioration continue systématique.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954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B954"/>
                <w:sz w:val="19"/>
                <w:szCs w:val="19"/>
              </w:rPr>
              <w:t xml:space="preserve">Optimisé / Efficient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Excellence opérationnelle, automatisation, innovation data-driven.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Annexe B — Tableau d'évaluation complet</w:t>
      </w:r>
    </w:p>
    <w:p>
      <w:pPr>
        <w:pBdr>
          <w:bottom w:val="single" w:color="1DB954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Récapitulatif de l'ensemble des scores par dimension 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 recommandée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Gouvernance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4/5 (Géré)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Qualité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4/5 (Géré)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Architecture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5/5 (Optimisé)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Conformité (RGPD, CCPA, PCI-DSS)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5/5 (Optimisé)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Usage &amp; Accessibilité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4/5 (Géré)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Sécurité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5/5 (Optimisé)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Littératie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4/5 (Géré)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Intégration des 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4/5 (Géré)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Analytics &amp; Business Intelligence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5/5 (Optimisé)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Métadonnées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2DC7"/>
                <w:sz w:val="18"/>
                <w:szCs w:val="18"/>
              </w:rPr>
              <w:t xml:space="preserve">→ Cible : 3/5 (Proactif) en 18 mois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GLOBAL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2.3/5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Réactif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2DC7"/>
                <w:sz w:val="18"/>
                <w:szCs w:val="18"/>
              </w:rPr>
              <w:t xml:space="preserve">→ Cible : 4.0/5 (Géré) en 18 mois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Rapport rédigé dans le cadre de la certification AIA — Bloc 1 Gouvernance des Données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Kevin Rochet — Jedha Bootcamp — Certification AIA — Mai 2026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954" w:sz="6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Spotify — Évaluation de la Maturité des Données — Certification AIA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DB95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C2D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2026-05-22T19:31:04.848Z</dcterms:created>
  <dcterms:modified xsi:type="dcterms:W3CDTF">2026-05-22T19:31:04.849Z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