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00"/>
            <w:shd w:fill="1DB954" w:val="clear"/>
            <w:tcMar>
              <w:top w:type="dxa" w:w="400"/>
              <w:left w:type="dxa" w:w="400"/>
              <w:bottom w:type="dxa" w:w="400"/>
              <w:right w:type="dxa" w:w="400"/>
            </w:tcMar>
          </w:tcPr>
          <w:p>
            <w:pPr>
              <w:jc w:val="center"/>
            </w:pPr>
            <w:r>
              <w:rPr>
                <w:rFonts w:ascii="Calibri" w:cs="Calibri" w:eastAsia="Calibri" w:hAnsi="Calibri"/>
                <w:b/>
                <w:bCs/>
                <w:color w:val="FFFFFF"/>
                <w:sz w:val="56"/>
                <w:szCs w:val="56"/>
              </w:rPr>
              <w:t xml:space="preserve">SPOTIFY</w:t>
            </w:r>
          </w:p>
          <w:p>
            <w:pPr>
              <w:jc w:val="center"/>
            </w:pPr>
            <w:r>
              <w:rPr>
                <w:rFonts w:ascii="Calibri" w:cs="Calibri" w:eastAsia="Calibri" w:hAnsi="Calibri"/>
                <w:b/>
                <w:bCs/>
                <w:color w:val="1A1A2E"/>
                <w:sz w:val="32"/>
                <w:szCs w:val="32"/>
              </w:rPr>
              <w:t xml:space="preserve">Plan d'Implémentation de la Gouvernance des Données</w:t>
            </w:r>
          </w:p>
          <w:p>
            <w:pPr>
              <w:jc w:val="center"/>
            </w:pPr>
            <w:r>
              <w:rPr>
                <w:rFonts w:ascii="Calibri" w:cs="Calibri" w:eastAsia="Calibri" w:hAnsi="Calibri"/>
                <w:i/>
                <w:iCs/>
                <w:color w:val="1A1A2E"/>
                <w:sz w:val="22"/>
                <w:szCs w:val="22"/>
              </w:rPr>
              <w:t xml:space="preserve">Étape 3 · Certification AIA · Jedha Bootcamp — Version 2.0</w:t>
            </w:r>
          </w:p>
          <w:p>
            <w:pPr>
              <w:jc w:val="center"/>
            </w:pPr>
            <w:r>
              <w:rPr>
                <w:rFonts w:ascii="Calibri" w:cs="Calibri" w:eastAsia="Calibri" w:hAnsi="Calibri"/>
                <w:color w:val="1A1A2E"/>
                <w:sz w:val="20"/>
                <w:szCs w:val="20"/>
              </w:rPr>
              <w:t xml:space="preserve">Kevin Rochet · Mai 2026</w:t>
            </w:r>
          </w:p>
        </w:tc>
      </w:tr>
    </w:tbl>
    <w:p>
      <w:r>
        <w:br w:type="page"/>
      </w:r>
    </w:p>
    <w:p>
      <w:pPr>
        <w:pStyle w:val="Heading1"/>
        <w:pBdr>
          <w:bottom w:val="single" w:color="1DB954" w:sz="4" w:space="4"/>
        </w:pBdr>
        <w:spacing w:after="120" w:before="280"/>
      </w:pPr>
      <w:r>
        <w:rPr>
          <w:rFonts w:ascii="Calibri" w:cs="Calibri" w:eastAsia="Calibri" w:hAnsi="Calibri"/>
          <w:b/>
          <w:bCs/>
          <w:color w:val="1A1A2E"/>
          <w:sz w:val="26"/>
          <w:szCs w:val="26"/>
        </w:rPr>
        <w:t xml:space="preserve">1. Vue d'ensemble du programme</w:t>
      </w:r>
    </w:p>
    <w:p>
      <w:pPr>
        <w:spacing w:after="100"/>
        <w:jc w:val="both"/>
      </w:pPr>
      <w:r>
        <w:rPr>
          <w:rFonts w:ascii="Calibri" w:cs="Calibri" w:eastAsia="Calibri" w:hAnsi="Calibri"/>
          <w:b w:val="false"/>
          <w:bCs w:val="false"/>
          <w:i w:val="false"/>
          <w:iCs w:val="false"/>
          <w:color w:val="2C2C2C"/>
          <w:sz w:val="20"/>
          <w:szCs w:val="20"/>
        </w:rPr>
        <w:t xml:space="preserve">Ce plan d'implémentation définit les étapes concrètes pour déployer le cadre de gouvernance des données chez Spotify, conformément à la politique approuvée par le COMEX le 15 mai 2026. Il s'appuie sur les résultats de l'évaluation de maturité (score actuel : 2.3/5 — stade Réactif) et vise à atteindre le niveau Géré (4.0/5) en 18 mois.</w:t>
      </w:r>
    </w:p>
    <w:p>
      <w:pPr>
        <w:spacing w:after="100"/>
        <w:jc w:val="both"/>
      </w:pPr>
      <w:r>
        <w:rPr>
          <w:rFonts w:ascii="Calibri" w:cs="Calibri" w:eastAsia="Calibri" w:hAnsi="Calibri"/>
          <w:b w:val="false"/>
          <w:bCs w:val="false"/>
          <w:i w:val="false"/>
          <w:iCs w:val="false"/>
          <w:color w:val="2C2C2C"/>
          <w:sz w:val="20"/>
          <w:szCs w:val="20"/>
        </w:rPr>
        <w:t xml:space="preserve">Le programme est structuré en 3 phases progressives et comprend un pilote opérationnel sur le domaine User Engagement pour valider l'approche avant déploiement global.</w:t>
      </w:r>
    </w:p>
    <w:p>
      <w:pPr>
        <w:spacing w:after="1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Phase 1 — Fondations</w:t>
            </w:r>
          </w:p>
        </w:tc>
        <w:tc>
          <w:tcPr>
            <w:tcW w:type="dxa" w:w="3100"/>
            <w:tcBorders>
              <w:top w:val="single" w:color="D0D0D0" w:sz="1"/>
              <w:left w:val="single" w:color="D0D0D0" w:sz="1"/>
              <w:bottom w:val="single" w:color="D0D0D0" w:sz="1"/>
              <w:right w:val="single" w:color="D0D0D0" w:sz="1"/>
            </w:tcBorders>
            <w:shd w:fill="6C2DC7"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Phase 2 — Déploiement</w:t>
            </w:r>
          </w:p>
        </w:tc>
        <w:tc>
          <w:tcPr>
            <w:tcW w:type="dxa" w:w="3100"/>
            <w:tcBorders>
              <w:top w:val="single" w:color="D0D0D0" w:sz="1"/>
              <w:left w:val="single" w:color="D0D0D0" w:sz="1"/>
              <w:bottom w:val="single" w:color="D0D0D0" w:sz="1"/>
              <w:right w:val="single" w:color="D0D0D0" w:sz="1"/>
            </w:tcBorders>
            <w:shd w:fill="1DB95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Phase 3 — Optimisation</w:t>
            </w:r>
          </w:p>
        </w:tc>
      </w:tr>
      <w:tr>
        <w:tc>
          <w:tcPr>
            <w:tcW w:type="dxa" w:w="3100"/>
            <w:tcBorders>
              <w:top w:val="single" w:color="D0D0D0" w:sz="1"/>
              <w:left w:val="single" w:color="D0D0D0" w:sz="1"/>
              <w:bottom w:val="single" w:color="D0D0D0" w:sz="1"/>
              <w:right w:val="single" w:color="D0D0D0" w:sz="1"/>
            </w:tcBorders>
            <w:shd w:fill="F0F0F0" w:val="clear"/>
            <w:tcMar>
              <w:top w:type="dxa" w:w="60"/>
              <w:left w:type="dxa" w:w="100"/>
              <w:bottom w:type="dxa" w:w="60"/>
              <w:right w:type="dxa" w:w="100"/>
            </w:tcMar>
            <w:vAlign w:val="center"/>
          </w:tcPr>
          <w:p>
            <w:pPr>
              <w:jc w:val="center"/>
            </w:pPr>
            <w:r>
              <w:rPr>
                <w:rFonts w:ascii="Calibri" w:cs="Calibri" w:eastAsia="Calibri" w:hAnsi="Calibri"/>
                <w:b w:val="false"/>
                <w:bCs w:val="false"/>
                <w:i/>
                <w:iCs/>
                <w:color w:val="1A1A2E"/>
                <w:sz w:val="18"/>
                <w:szCs w:val="18"/>
              </w:rPr>
              <w:t xml:space="preserve">Juin — Septembre 2026
(4 mois)</w:t>
            </w:r>
          </w:p>
        </w:tc>
        <w:tc>
          <w:tcPr>
            <w:tcW w:type="dxa" w:w="3100"/>
            <w:tcBorders>
              <w:top w:val="single" w:color="D0D0D0" w:sz="1"/>
              <w:left w:val="single" w:color="D0D0D0" w:sz="1"/>
              <w:bottom w:val="single" w:color="D0D0D0" w:sz="1"/>
              <w:right w:val="single" w:color="D0D0D0" w:sz="1"/>
            </w:tcBorders>
            <w:shd w:fill="EDE7F6" w:val="clear"/>
            <w:tcMar>
              <w:top w:type="dxa" w:w="60"/>
              <w:left w:type="dxa" w:w="100"/>
              <w:bottom w:type="dxa" w:w="60"/>
              <w:right w:type="dxa" w:w="100"/>
            </w:tcMar>
            <w:vAlign w:val="center"/>
          </w:tcPr>
          <w:p>
            <w:pPr>
              <w:jc w:val="center"/>
            </w:pPr>
            <w:r>
              <w:rPr>
                <w:rFonts w:ascii="Calibri" w:cs="Calibri" w:eastAsia="Calibri" w:hAnsi="Calibri"/>
                <w:b w:val="false"/>
                <w:bCs w:val="false"/>
                <w:i/>
                <w:iCs/>
                <w:color w:val="1A1A2E"/>
                <w:sz w:val="18"/>
                <w:szCs w:val="18"/>
              </w:rPr>
              <w:t xml:space="preserve">Octobre 2026 — Mars 2027
(6 mois)</w:t>
            </w:r>
          </w:p>
        </w:tc>
        <w:tc>
          <w:tcPr>
            <w:tcW w:type="dxa" w:w="31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jc w:val="center"/>
            </w:pPr>
            <w:r>
              <w:rPr>
                <w:rFonts w:ascii="Calibri" w:cs="Calibri" w:eastAsia="Calibri" w:hAnsi="Calibri"/>
                <w:b w:val="false"/>
                <w:bCs w:val="false"/>
                <w:i/>
                <w:iCs/>
                <w:color w:val="1A1A2E"/>
                <w:sz w:val="18"/>
                <w:szCs w:val="18"/>
              </w:rPr>
              <w:t xml:space="preserve">Avril — Novembre 2027
(8 mois)</w:t>
            </w:r>
          </w:p>
        </w:tc>
      </w:tr>
      <w:tr>
        <w:tc>
          <w:tcPr>
            <w:tcW w:type="dxa" w:w="31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CDO · Comité · Politique · Outils de base · Pilote User Engagement</w:t>
            </w:r>
          </w:p>
        </w:tc>
        <w:tc>
          <w:tcPr>
            <w:tcW w:type="dxa" w:w="31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Catalogue · Qualité · Formation · Data Contracts · COE opérationnel</w:t>
            </w:r>
          </w:p>
        </w:tc>
        <w:tc>
          <w:tcPr>
            <w:tcW w:type="dxa" w:w="31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Conformité complète · BI gouvernance · Certification Data Champions · Maturité 4.0/5</w:t>
            </w:r>
          </w:p>
        </w:tc>
      </w:tr>
    </w:tbl>
    <w:p>
      <w:pPr>
        <w:spacing w:after="160"/>
      </w:pPr>
    </w:p>
    <w:p>
      <w:r>
        <w:br w:type="page"/>
      </w:r>
    </w:p>
    <w:p>
      <w:pPr>
        <w:pStyle w:val="Heading1"/>
        <w:pBdr>
          <w:bottom w:val="single" w:color="1DB954" w:sz="4" w:space="4"/>
        </w:pBdr>
        <w:spacing w:after="120" w:before="280"/>
      </w:pPr>
      <w:r>
        <w:rPr>
          <w:rFonts w:ascii="Calibri" w:cs="Calibri" w:eastAsia="Calibri" w:hAnsi="Calibri"/>
          <w:b/>
          <w:bCs/>
          <w:color w:val="1A1A2E"/>
          <w:sz w:val="26"/>
          <w:szCs w:val="26"/>
        </w:rPr>
        <w:t xml:space="preserve">2. Sélection des outils technologiques</w:t>
      </w:r>
    </w:p>
    <w:p>
      <w:pPr>
        <w:spacing w:after="100"/>
        <w:jc w:val="both"/>
      </w:pPr>
      <w:r>
        <w:rPr>
          <w:rFonts w:ascii="Calibri" w:cs="Calibri" w:eastAsia="Calibri" w:hAnsi="Calibri"/>
          <w:b w:val="false"/>
          <w:bCs w:val="false"/>
          <w:i w:val="false"/>
          <w:iCs w:val="false"/>
          <w:color w:val="2C2C2C"/>
          <w:sz w:val="20"/>
          <w:szCs w:val="20"/>
        </w:rPr>
        <w:t xml:space="preserve">Le déploiement d'un programme de gouvernance des données efficace nécessite un outillage technologique adapté. Le tableau ci-dessous présente les 6 outils sélectionnés, leur catégorie, leur justification et leur intégration dans l'écosystème Spotify (GCP, Kafka, Data Mesh).</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Outil</w:t>
            </w:r>
          </w:p>
        </w:tc>
        <w:tc>
          <w:tcPr>
            <w:tcW w:type="dxa" w:w="1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Catégorie</w:t>
            </w:r>
          </w:p>
        </w:tc>
        <w:tc>
          <w:tcPr>
            <w:tcW w:type="dxa" w:w="3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Justification — Adéquation Spotify</w:t>
            </w:r>
          </w:p>
        </w:tc>
        <w:tc>
          <w:tcPr>
            <w:tcW w:type="dxa" w:w="2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Phase déploiement</w:t>
            </w:r>
          </w:p>
        </w:tc>
      </w:tr>
      <w:tr>
        <w:tc>
          <w:tcPr>
            <w:tcW w:type="dxa" w:w="15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1A2E"/>
                <w:sz w:val="18"/>
                <w:szCs w:val="18"/>
              </w:rPr>
              <w:t xml:space="preserve">Alation</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7"/>
                <w:szCs w:val="17"/>
              </w:rPr>
              <w:t xml:space="preserve">Catalogue de données</w:t>
            </w:r>
          </w:p>
        </w:tc>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Interface intuitive, connecteurs natifs GCP, BigQuery et Kafka. Permet la documentation des 100M+ datasets Spotify. Fonctions de data lineage et de glossaire métier intégrées. Adopté par Airbnb, eBay, Netflix — profil similaire à Spotify.</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DB954"/>
                <w:sz w:val="16"/>
                <w:szCs w:val="16"/>
              </w:rPr>
              <w:t xml:space="preserve">Phase 1 (juillet 2026)</w:t>
            </w:r>
          </w:p>
        </w:tc>
      </w:tr>
      <w:tr>
        <w:tc>
          <w:tcPr>
            <w:tcW w:type="dxa" w:w="15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1A2E"/>
                <w:sz w:val="18"/>
                <w:szCs w:val="18"/>
              </w:rPr>
              <w:t xml:space="preserve">Ataccama ONE</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7"/>
                <w:szCs w:val="17"/>
              </w:rPr>
              <w:t xml:space="preserve">Qualité des données</w:t>
            </w:r>
          </w:p>
        </w:tc>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Profiling automatisé et règles de qualité basées sur ML. DQ Score par dataset configurable. Intégration native avec Kafka pour quality gates en temps réel sur les 500 Mds événements/jour. Particulièrement adapté aux métadonnées musicales fragmentées (ISRC, genres, artistes).</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DB954"/>
                <w:sz w:val="16"/>
                <w:szCs w:val="16"/>
              </w:rPr>
              <w:t xml:space="preserve">Phase 1 (août 2026)</w:t>
            </w:r>
          </w:p>
        </w:tc>
      </w:tr>
      <w:tr>
        <w:tc>
          <w:tcPr>
            <w:tcW w:type="dxa" w:w="15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1A2E"/>
                <w:sz w:val="18"/>
                <w:szCs w:val="18"/>
              </w:rPr>
              <w:t xml:space="preserve">OneTrust</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7"/>
                <w:szCs w:val="17"/>
              </w:rPr>
              <w:t xml:space="preserve">Conformité RGPD/CCPA</w:t>
            </w:r>
          </w:p>
        </w:tc>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Automatisation des demandes DSR (droits sujets) avec SLA configurable (30j RGPD / 45j CCPA). Registre des traitements (ROPA) dynamique, gestion des consentements, cookie management. Répond directement à la sanction IMY 2023 sur la transparence des traitements.</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DB954"/>
                <w:sz w:val="16"/>
                <w:szCs w:val="16"/>
              </w:rPr>
              <w:t xml:space="preserve">Phase 1 (septembre 2026)</w:t>
            </w:r>
          </w:p>
        </w:tc>
      </w:tr>
      <w:tr>
        <w:tc>
          <w:tcPr>
            <w:tcW w:type="dxa" w:w="1500"/>
            <w:tcBorders>
              <w:top w:val="single" w:color="D0D0D0" w:sz="1"/>
              <w:left w:val="single" w:color="D0D0D0" w:sz="1"/>
              <w:bottom w:val="single" w:color="D0D0D0" w:sz="1"/>
              <w:right w:val="single" w:color="D0D0D0" w:sz="1"/>
            </w:tcBorders>
            <w:shd w:fill="FFF3E0"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1A2E"/>
                <w:sz w:val="18"/>
                <w:szCs w:val="18"/>
              </w:rPr>
              <w:t xml:space="preserve">Splunk</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7"/>
                <w:szCs w:val="17"/>
              </w:rPr>
              <w:t xml:space="preserve">Sécurité / SIEM</w:t>
            </w:r>
          </w:p>
        </w:tc>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SIEM (Security Information and Event Management) en temps réel. Détection d'anomalies d'accès, alertes credential stuffing, audit logs des 400k+ applications tierces. Intégration GCP et Kafka native. Permet le MFA enforcement et la traçabilité réglementaire.</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6C2DC7"/>
                <w:sz w:val="16"/>
                <w:szCs w:val="16"/>
              </w:rPr>
              <w:t xml:space="preserve">Phase 2 (novembre 2026)</w:t>
            </w:r>
          </w:p>
        </w:tc>
      </w:tr>
      <w:tr>
        <w:tc>
          <w:tcPr>
            <w:tcW w:type="dxa" w:w="1500"/>
            <w:tcBorders>
              <w:top w:val="single" w:color="D0D0D0" w:sz="1"/>
              <w:left w:val="single" w:color="D0D0D0" w:sz="1"/>
              <w:bottom w:val="single" w:color="D0D0D0" w:sz="1"/>
              <w:right w:val="single" w:color="D0D0D0" w:sz="1"/>
            </w:tcBorders>
            <w:shd w:fill="EDE7F6"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1A2E"/>
                <w:sz w:val="18"/>
                <w:szCs w:val="18"/>
              </w:rPr>
              <w:t xml:space="preserve">Power BI</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7"/>
                <w:szCs w:val="17"/>
              </w:rPr>
              <w:t xml:space="preserve">Dashboards gouvernance</w:t>
            </w:r>
          </w:p>
        </w:tc>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Tableaux de bord KPIs de gouvernance accessibles au CDO et au COMEX en temps réel. Visualisation du DQ Score global, taux de conformité DSR, couverture catalogue, incidents sécurité. Accessibilité pour profils non-techniques (décideurs COMEX). Connecteur natif GCP/BigQuery.</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6C2DC7"/>
                <w:sz w:val="16"/>
                <w:szCs w:val="16"/>
              </w:rPr>
              <w:t xml:space="preserve">Phase 2 (janvier 2027)</w:t>
            </w:r>
          </w:p>
        </w:tc>
      </w:tr>
      <w:tr>
        <w:tc>
          <w:tcPr>
            <w:tcW w:type="dxa" w:w="15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1A2E"/>
                <w:sz w:val="18"/>
                <w:szCs w:val="18"/>
              </w:rPr>
              <w:t xml:space="preserve">Notion + Jira</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7"/>
                <w:szCs w:val="17"/>
              </w:rPr>
              <w:t xml:space="preserve">Documentation &amp; Suivi</w:t>
            </w:r>
          </w:p>
        </w:tc>
        <w:tc>
          <w:tcPr>
            <w:tcW w:type="dxa" w:w="3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Notion : knowledge base des politiques de gouvernance, Data Dictionary partagé, onboarding des Data Stewards. Jira : suivi des jalons du programme, gestion des incidents de qualité, backlog du Data Governance Committee. Outils déjà utilisés par les squads Spotify.</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DB954"/>
                <w:sz w:val="16"/>
                <w:szCs w:val="16"/>
              </w:rPr>
              <w:t xml:space="preserve">Phase 1 (juin 2026)</w:t>
            </w:r>
          </w:p>
        </w:tc>
      </w:tr>
    </w:tbl>
    <w:p>
      <w:pPr>
        <w:spacing w:after="160"/>
      </w:pPr>
    </w:p>
    <w:p>
      <w:r>
        <w:br w:type="page"/>
      </w:r>
    </w:p>
    <w:p>
      <w:pPr>
        <w:pStyle w:val="Heading1"/>
        <w:pBdr>
          <w:bottom w:val="single" w:color="1DB954" w:sz="4" w:space="4"/>
        </w:pBdr>
        <w:spacing w:after="120" w:before="280"/>
      </w:pPr>
      <w:r>
        <w:rPr>
          <w:rFonts w:ascii="Calibri" w:cs="Calibri" w:eastAsia="Calibri" w:hAnsi="Calibri"/>
          <w:b/>
          <w:bCs/>
          <w:color w:val="1A1A2E"/>
          <w:sz w:val="26"/>
          <w:szCs w:val="26"/>
        </w:rPr>
        <w:t xml:space="preserve">3. Feuille de route 18 mois</w:t>
      </w:r>
    </w:p>
    <w:p>
      <w:pPr>
        <w:spacing w:after="100"/>
        <w:jc w:val="both"/>
      </w:pPr>
      <w:r>
        <w:rPr>
          <w:rFonts w:ascii="Calibri" w:cs="Calibri" w:eastAsia="Calibri" w:hAnsi="Calibri"/>
          <w:b w:val="false"/>
          <w:bCs w:val="false"/>
          <w:i w:val="false"/>
          <w:iCs w:val="false"/>
          <w:color w:val="2C2C2C"/>
          <w:sz w:val="20"/>
          <w:szCs w:val="20"/>
        </w:rPr>
        <w:t xml:space="preserve">Le programme est déployé sur 18 mois en 3 phases progressives. Chaque phase s'appuie sur les fondations de la précédente.</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Phase</w:t>
            </w:r>
          </w:p>
        </w:tc>
        <w:tc>
          <w:tcPr>
            <w:tcW w:type="dxa" w:w="1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Période</w:t>
            </w:r>
          </w:p>
        </w:tc>
        <w:tc>
          <w:tcPr>
            <w:tcW w:type="dxa" w:w="49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Objectifs &amp; livrables clés</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Indicateur de succès</w:t>
            </w:r>
          </w:p>
        </w:tc>
      </w:tr>
      <w:tr>
        <w:tc>
          <w:tcPr>
            <w:tcW w:type="dxa" w:w="9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Phase 1
Fondations</w:t>
            </w:r>
          </w:p>
        </w:tc>
        <w:tc>
          <w:tcPr>
            <w:tcW w:type="dxa" w:w="15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center"/>
            </w:pPr>
            <w:r>
              <w:rPr>
                <w:rFonts w:ascii="Calibri" w:cs="Calibri" w:eastAsia="Calibri" w:hAnsi="Calibri"/>
                <w:b w:val="false"/>
                <w:bCs w:val="false"/>
                <w:i/>
                <w:iCs/>
                <w:color w:val="2C2C2C"/>
                <w:sz w:val="18"/>
                <w:szCs w:val="18"/>
              </w:rPr>
              <w:t xml:space="preserve">Juin–Sept.
2026</w:t>
            </w:r>
          </w:p>
        </w:tc>
        <w:tc>
          <w:tcPr>
            <w:tcW w:type="dxa" w:w="49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 Nomination CDO + constitution du Comité de Gouvernance
• Déploiement Notion+Jira (documentation et suivi)
• Déploiement Alation (catalogage datasets prioritaires)
• Déploiement Ataccama ONE (qualité métadonnées musicales)
• Déploiement OneTrust (DSR RGPD/CCPA)
• Pilote User Engagement (voir Section 4)
• Formation Niveau 1 : sensibilisation Data Literacy (S1)</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DB954"/>
                <w:sz w:val="15"/>
                <w:szCs w:val="15"/>
              </w:rPr>
              <w:t xml:space="preserve">CDO nommé
Comité constitué
80% pilote go-live</w:t>
            </w:r>
          </w:p>
        </w:tc>
      </w:tr>
      <w:tr>
        <w:tc>
          <w:tcPr>
            <w:tcW w:type="dxa" w:w="900"/>
            <w:tcBorders>
              <w:top w:val="single" w:color="D0D0D0" w:sz="1"/>
              <w:left w:val="single" w:color="D0D0D0" w:sz="1"/>
              <w:bottom w:val="single" w:color="D0D0D0" w:sz="1"/>
              <w:right w:val="single" w:color="D0D0D0" w:sz="1"/>
            </w:tcBorders>
            <w:shd w:fill="6C2DC7"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Phase 2
Déploiement</w:t>
            </w:r>
          </w:p>
        </w:tc>
        <w:tc>
          <w:tcPr>
            <w:tcW w:type="dxa" w:w="1500"/>
            <w:tcBorders>
              <w:top w:val="single" w:color="D0D0D0" w:sz="1"/>
              <w:left w:val="single" w:color="D0D0D0" w:sz="1"/>
              <w:bottom w:val="single" w:color="D0D0D0" w:sz="1"/>
              <w:right w:val="single" w:color="D0D0D0" w:sz="1"/>
            </w:tcBorders>
            <w:shd w:fill="EDE7F6" w:val="clear"/>
            <w:tcMar>
              <w:top w:type="dxa" w:w="60"/>
              <w:left w:type="dxa" w:w="100"/>
              <w:bottom w:type="dxa" w:w="60"/>
              <w:right w:type="dxa" w:w="100"/>
            </w:tcMar>
            <w:vAlign w:val="center"/>
          </w:tcPr>
          <w:p>
            <w:pPr>
              <w:jc w:val="center"/>
            </w:pPr>
            <w:r>
              <w:rPr>
                <w:rFonts w:ascii="Calibri" w:cs="Calibri" w:eastAsia="Calibri" w:hAnsi="Calibri"/>
                <w:b w:val="false"/>
                <w:bCs w:val="false"/>
                <w:i/>
                <w:iCs/>
                <w:color w:val="2C2C2C"/>
                <w:sz w:val="18"/>
                <w:szCs w:val="18"/>
              </w:rPr>
              <w:t xml:space="preserve">Oct. 2026–
Mars 2027</w:t>
            </w:r>
          </w:p>
        </w:tc>
        <w:tc>
          <w:tcPr>
            <w:tcW w:type="dxa" w:w="49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 Déploiement Splunk SIEM + MFA obligatoire
• Généralisation data contracts inter-squads (format Avro)
• COE opérationnel sur les 5 domaines
• Extension catalogue Alation à 100% datasets critiques
• Déploiement Power BI (dashboards KPIs gouvernance)
• Formation Niveau 2 : outils de gouvernance (S3)
• Audit conformité RGPD externe (certification)</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6C2DC7"/>
                <w:sz w:val="15"/>
                <w:szCs w:val="15"/>
              </w:rPr>
              <w:t xml:space="preserve">DQ Score &gt; 70%
Conformité RGPD
certifiée</w:t>
            </w:r>
          </w:p>
        </w:tc>
      </w:tr>
      <w:tr>
        <w:tc>
          <w:tcPr>
            <w:tcW w:type="dxa" w:w="900"/>
            <w:tcBorders>
              <w:top w:val="single" w:color="D0D0D0" w:sz="1"/>
              <w:left w:val="single" w:color="D0D0D0" w:sz="1"/>
              <w:bottom w:val="single" w:color="D0D0D0" w:sz="1"/>
              <w:right w:val="single" w:color="D0D0D0" w:sz="1"/>
            </w:tcBorders>
            <w:shd w:fill="1DB95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Phase 3
Optimisation</w:t>
            </w:r>
          </w:p>
        </w:tc>
        <w:tc>
          <w:tcPr>
            <w:tcW w:type="dxa" w:w="15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jc w:val="center"/>
            </w:pPr>
            <w:r>
              <w:rPr>
                <w:rFonts w:ascii="Calibri" w:cs="Calibri" w:eastAsia="Calibri" w:hAnsi="Calibri"/>
                <w:b w:val="false"/>
                <w:bCs w:val="false"/>
                <w:i/>
                <w:iCs/>
                <w:color w:val="2C2C2C"/>
                <w:sz w:val="18"/>
                <w:szCs w:val="18"/>
              </w:rPr>
              <w:t xml:space="preserve">Avr.–Nov.
2027</w:t>
            </w:r>
          </w:p>
        </w:tc>
        <w:tc>
          <w:tcPr>
            <w:tcW w:type="dxa" w:w="49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 Audit CCPA + PCI-DSS avec certification externe
• Certification Data Champions (50+ collaborateurs)
• Formation Niveau 3 : bonnes pratiques avancées (S6)
• EU AI Act : audit des biais algorithmiques
• Rapport de Maturité annuel (objectif : 4.0/5)
• Évaluation ROI du programme
• Bilan et ajustement pour la saison 2027-2028</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DB954"/>
                <w:sz w:val="15"/>
                <w:szCs w:val="15"/>
              </w:rPr>
              <w:t xml:space="preserve">Maturité 4.0/5
50+ Champions
certifiés</w:t>
            </w:r>
          </w:p>
        </w:tc>
      </w:tr>
    </w:tbl>
    <w:p>
      <w:pPr>
        <w:spacing w:after="160"/>
      </w:pPr>
    </w:p>
    <w:p>
      <w:r>
        <w:br w:type="page"/>
      </w:r>
    </w:p>
    <w:p>
      <w:pPr>
        <w:pStyle w:val="Heading1"/>
        <w:pBdr>
          <w:bottom w:val="single" w:color="1DB954" w:sz="4" w:space="4"/>
        </w:pBdr>
        <w:spacing w:after="120" w:before="280"/>
      </w:pPr>
      <w:r>
        <w:rPr>
          <w:rFonts w:ascii="Calibri" w:cs="Calibri" w:eastAsia="Calibri" w:hAnsi="Calibri"/>
          <w:b/>
          <w:bCs/>
          <w:color w:val="1A1A2E"/>
          <w:sz w:val="26"/>
          <w:szCs w:val="26"/>
        </w:rPr>
        <w:t xml:space="preserve">4. Pilote — Domaine User Engagement</w:t>
      </w:r>
    </w:p>
    <w:p>
      <w:pPr>
        <w:pStyle w:val="Heading2"/>
        <w:spacing w:after="80" w:before="160"/>
      </w:pPr>
      <w:r>
        <w:rPr>
          <w:rFonts w:ascii="Calibri" w:cs="Calibri" w:eastAsia="Calibri" w:hAnsi="Calibri"/>
          <w:b/>
          <w:bCs/>
          <w:color w:val="6C2DC7"/>
          <w:sz w:val="22"/>
          <w:szCs w:val="22"/>
        </w:rPr>
        <w:t xml:space="preserve">4.1 Objectif du pilote</w:t>
      </w:r>
    </w:p>
    <w:p>
      <w:pPr>
        <w:spacing w:after="100"/>
        <w:jc w:val="both"/>
      </w:pPr>
      <w:r>
        <w:rPr>
          <w:rFonts w:ascii="Calibri" w:cs="Calibri" w:eastAsia="Calibri" w:hAnsi="Calibri"/>
          <w:b w:val="false"/>
          <w:bCs w:val="false"/>
          <w:i w:val="false"/>
          <w:iCs w:val="false"/>
          <w:color w:val="2C2C2C"/>
          <w:sz w:val="20"/>
          <w:szCs w:val="20"/>
        </w:rPr>
        <w:t xml:space="preserve">Le pilote porte sur le domaine User Engagement, qui regroupe les données comportementales des 602M utilisateurs (écoutes, playlists, recherches, interactions sociales). Ce domaine a été choisi car il concentre les enjeux les plus critiques : conformité RGPD (consentement), qualité (métadonnées musicales), et sécurité (données personnelles).</w:t>
      </w:r>
    </w:p>
    <w:p>
      <w:pPr>
        <w:spacing w:after="100"/>
        <w:jc w:val="both"/>
      </w:pPr>
      <w:r>
        <w:rPr>
          <w:rFonts w:ascii="Calibri" w:cs="Calibri" w:eastAsia="Calibri" w:hAnsi="Calibri"/>
          <w:b w:val="false"/>
          <w:bCs w:val="false"/>
          <w:i w:val="false"/>
          <w:iCs w:val="false"/>
          <w:color w:val="2C2C2C"/>
          <w:sz w:val="20"/>
          <w:szCs w:val="20"/>
        </w:rPr>
        <w:t xml:space="preserve">Le pilote vise à valider l'ensemble du cadre de gouvernance (outils, rôles, processus) à petite échelle avant déploiement global en Phase 2.</w:t>
      </w:r>
    </w:p>
    <w:p>
      <w:pPr>
        <w:spacing w:after="120"/>
      </w:pPr>
    </w:p>
    <w:p>
      <w:pPr>
        <w:pStyle w:val="Heading2"/>
        <w:spacing w:after="80" w:before="160"/>
      </w:pPr>
      <w:r>
        <w:rPr>
          <w:rFonts w:ascii="Calibri" w:cs="Calibri" w:eastAsia="Calibri" w:hAnsi="Calibri"/>
          <w:b/>
          <w:bCs/>
          <w:color w:val="6C2DC7"/>
          <w:sz w:val="22"/>
          <w:szCs w:val="22"/>
        </w:rPr>
        <w:t xml:space="preserve">4.2 Équipe du pilote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Prénom (fictif)</w:t>
            </w:r>
          </w:p>
        </w:tc>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Rôle</w:t>
            </w:r>
          </w:p>
        </w:tc>
        <w:tc>
          <w:tcPr>
            <w:tcW w:type="dxa" w:w="33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Responsabilités dans le pilote</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Disponibilité</w:t>
            </w:r>
          </w:p>
        </w:tc>
      </w:tr>
      <w:tr>
        <w:tc>
          <w:tcPr>
            <w:tcW w:type="dxa" w:w="1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John Lemon</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8"/>
                <w:szCs w:val="18"/>
              </w:rPr>
              <w:t xml:space="preserve">Data Steward</w:t>
            </w:r>
          </w:p>
        </w:tc>
        <w:tc>
          <w:tcPr>
            <w:tcW w:type="dxa" w:w="33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Documentation des datasets User Engagement dans Alation. Suivi qualité quotidien. Remontée des anomalies.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6"/>
                <w:szCs w:val="16"/>
              </w:rPr>
              <w:t xml:space="preserve">50% sur 8 semaines</w:t>
            </w:r>
          </w:p>
        </w:tc>
      </w:tr>
      <w:tr>
        <w:tc>
          <w:tcPr>
            <w:tcW w:type="dxa" w:w="1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Michael JSON</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8"/>
                <w:szCs w:val="18"/>
              </w:rPr>
              <w:t xml:space="preserve">Data Engineer</w:t>
            </w:r>
          </w:p>
        </w:tc>
        <w:tc>
          <w:tcPr>
            <w:tcW w:type="dxa" w:w="33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Intégration Ataccama ONE dans les pipelines Kafka. Mise en place des data quality gates. Data contracts.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6"/>
                <w:szCs w:val="16"/>
              </w:rPr>
              <w:t xml:space="preserve">70% sur 8 semaines</w:t>
            </w:r>
          </w:p>
        </w:tc>
      </w:tr>
      <w:tr>
        <w:tc>
          <w:tcPr>
            <w:tcW w:type="dxa" w:w="1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Taylor Script</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8"/>
                <w:szCs w:val="18"/>
              </w:rPr>
              <w:t xml:space="preserve">Data Analyst / BI</w:t>
            </w:r>
          </w:p>
        </w:tc>
        <w:tc>
          <w:tcPr>
            <w:tcW w:type="dxa" w:w="33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Création des dashboards Power BI de suivi KPIs pilote. Reporting hebdomadaire au Comité de Gouvernance.</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6"/>
                <w:szCs w:val="16"/>
              </w:rPr>
              <w:t xml:space="preserve">40% sur 8 semaines</w:t>
            </w:r>
          </w:p>
        </w:tc>
      </w:tr>
      <w:tr>
        <w:tc>
          <w:tcPr>
            <w:tcW w:type="dxa" w:w="1800"/>
            <w:tcBorders>
              <w:top w:val="single" w:color="D0D0D0" w:sz="1"/>
              <w:left w:val="single" w:color="D0D0D0" w:sz="1"/>
              <w:bottom w:val="single" w:color="D0D0D0" w:sz="1"/>
              <w:right w:val="single" w:color="D0D0D0" w:sz="1"/>
            </w:tcBorders>
            <w:shd w:fill="EDE7F6"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Elton Log</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8"/>
                <w:szCs w:val="18"/>
              </w:rPr>
              <w:t xml:space="preserve">Compliance Manager</w:t>
            </w:r>
          </w:p>
        </w:tc>
        <w:tc>
          <w:tcPr>
            <w:tcW w:type="dxa" w:w="33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Configuration OneTrust pour le domaine User Engagement. Vérification conformité DSR. Mise à jour ROPA.</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6"/>
                <w:szCs w:val="16"/>
              </w:rPr>
              <w:t xml:space="preserve">30% sur 8 semaines</w:t>
            </w:r>
          </w:p>
        </w:tc>
      </w:tr>
      <w:tr>
        <w:tc>
          <w:tcPr>
            <w:tcW w:type="dxa" w:w="1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Kurt Contain</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8"/>
                <w:szCs w:val="18"/>
              </w:rPr>
              <w:t xml:space="preserve">CISO / Sécurité</w:t>
            </w:r>
          </w:p>
        </w:tc>
        <w:tc>
          <w:tcPr>
            <w:tcW w:type="dxa" w:w="33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Audit des accès aux données User Engagement. Configuration MFA. Revue des logs Splunk (pilote).</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6"/>
                <w:szCs w:val="16"/>
              </w:rPr>
              <w:t xml:space="preserve">25% sur 8 semaines</w:t>
            </w:r>
          </w:p>
        </w:tc>
      </w:tr>
    </w:tbl>
    <w:p>
      <w:pPr>
        <w:spacing w:after="120"/>
      </w:pPr>
    </w:p>
    <w:p>
      <w:pPr>
        <w:pStyle w:val="Heading2"/>
        <w:spacing w:after="80" w:before="160"/>
      </w:pPr>
      <w:r>
        <w:rPr>
          <w:rFonts w:ascii="Calibri" w:cs="Calibri" w:eastAsia="Calibri" w:hAnsi="Calibri"/>
          <w:b/>
          <w:bCs/>
          <w:color w:val="6C2DC7"/>
          <w:sz w:val="22"/>
          <w:szCs w:val="22"/>
        </w:rPr>
        <w:t xml:space="preserve">4.3 Jalons du pilote — 13 jalons datés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w:t>
            </w:r>
          </w:p>
        </w:tc>
        <w:tc>
          <w:tcPr>
            <w:tcW w:type="dxa" w:w="1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Date</w:t>
            </w:r>
          </w:p>
        </w:tc>
        <w:tc>
          <w:tcPr>
            <w:tcW w:type="dxa" w:w="4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Jalon</w:t>
            </w:r>
          </w:p>
        </w:tc>
        <w:tc>
          <w:tcPr>
            <w:tcW w:type="dxa" w:w="1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Responsable</w:t>
            </w:r>
          </w:p>
        </w:tc>
        <w:tc>
          <w:tcPr>
            <w:tcW w:type="dxa" w:w="1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Livrable</w:t>
            </w:r>
          </w:p>
        </w:tc>
      </w:tr>
      <w:tr>
        <w:tc>
          <w:tcPr>
            <w:tcW w:type="dxa" w:w="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C2C2C"/>
                <w:sz w:val="18"/>
                <w:szCs w:val="18"/>
              </w:rPr>
              <w:t xml:space="preserve">J1</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565C0"/>
                <w:sz w:val="18"/>
                <w:szCs w:val="18"/>
              </w:rPr>
              <w:t xml:space="preserve">02/06/2026</w:t>
            </w:r>
          </w:p>
        </w:tc>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Kick-off officiel du pilote — Présentation à l'équipe</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6C2DC7"/>
                <w:sz w:val="16"/>
                <w:szCs w:val="16"/>
              </w:rPr>
              <w:t xml:space="preserve">CDO</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Compte-rendu kick-off</w:t>
            </w:r>
          </w:p>
        </w:tc>
      </w:tr>
      <w:tr>
        <w:tc>
          <w:tcPr>
            <w:tcW w:type="dxa" w:w="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C2C2C"/>
                <w:sz w:val="18"/>
                <w:szCs w:val="18"/>
              </w:rPr>
              <w:t xml:space="preserve">J2</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565C0"/>
                <w:sz w:val="18"/>
                <w:szCs w:val="18"/>
              </w:rPr>
              <w:t xml:space="preserve">09/06/2026</w:t>
            </w:r>
          </w:p>
        </w:tc>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Inventaire complet des datasets User Engagement</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6C2DC7"/>
                <w:sz w:val="16"/>
                <w:szCs w:val="16"/>
              </w:rPr>
              <w:t xml:space="preserve">John Lemon</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Inventaire Alation</w:t>
            </w:r>
          </w:p>
        </w:tc>
      </w:tr>
      <w:tr>
        <w:tc>
          <w:tcPr>
            <w:tcW w:type="dxa" w:w="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C2C2C"/>
                <w:sz w:val="18"/>
                <w:szCs w:val="18"/>
              </w:rPr>
              <w:t xml:space="preserve">J3</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565C0"/>
                <w:sz w:val="18"/>
                <w:szCs w:val="18"/>
              </w:rPr>
              <w:t xml:space="preserve">16/06/2026</w:t>
            </w:r>
          </w:p>
        </w:tc>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Formation Niveau 1 — Sensibilisation Data Literacy (S1)</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6C2DC7"/>
                <w:sz w:val="16"/>
                <w:szCs w:val="16"/>
              </w:rPr>
              <w:t xml:space="preserve">Formateurs Data</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Support de formation</w:t>
            </w:r>
          </w:p>
        </w:tc>
      </w:tr>
      <w:tr>
        <w:tc>
          <w:tcPr>
            <w:tcW w:type="dxa" w:w="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C2C2C"/>
                <w:sz w:val="18"/>
                <w:szCs w:val="18"/>
              </w:rPr>
              <w:t xml:space="preserve">J4</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565C0"/>
                <w:sz w:val="18"/>
                <w:szCs w:val="18"/>
              </w:rPr>
              <w:t xml:space="preserve">23/06/2026</w:t>
            </w:r>
          </w:p>
        </w:tc>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Installation et configuration d'Alation (User Engagement)</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6C2DC7"/>
                <w:sz w:val="16"/>
                <w:szCs w:val="16"/>
              </w:rPr>
              <w:t xml:space="preserve">Michael JSON</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Catalogue opérationnel</w:t>
            </w:r>
          </w:p>
        </w:tc>
      </w:tr>
      <w:tr>
        <w:tc>
          <w:tcPr>
            <w:tcW w:type="dxa" w:w="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C2C2C"/>
                <w:sz w:val="18"/>
                <w:szCs w:val="18"/>
              </w:rPr>
              <w:t xml:space="preserve">J5</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565C0"/>
                <w:sz w:val="18"/>
                <w:szCs w:val="18"/>
              </w:rPr>
              <w:t xml:space="preserve">30/06/2026</w:t>
            </w:r>
          </w:p>
        </w:tc>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Déploiement Ataccama ONE — Profiling initial des données</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6C2DC7"/>
                <w:sz w:val="16"/>
                <w:szCs w:val="16"/>
              </w:rPr>
              <w:t xml:space="preserve">Michael JSON</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Rapport DQ Score initial</w:t>
            </w:r>
          </w:p>
        </w:tc>
      </w:tr>
      <w:tr>
        <w:tc>
          <w:tcPr>
            <w:tcW w:type="dxa" w:w="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C2C2C"/>
                <w:sz w:val="18"/>
                <w:szCs w:val="18"/>
              </w:rPr>
              <w:t xml:space="preserve">J6</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565C0"/>
                <w:sz w:val="18"/>
                <w:szCs w:val="18"/>
              </w:rPr>
              <w:t xml:space="preserve">07/07/2026</w:t>
            </w:r>
          </w:p>
        </w:tc>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Configuration OneTrust — Workflows DSR RGPD</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6C2DC7"/>
                <w:sz w:val="16"/>
                <w:szCs w:val="16"/>
              </w:rPr>
              <w:t xml:space="preserve">Elton Log</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Workflows DSR actifs</w:t>
            </w:r>
          </w:p>
        </w:tc>
      </w:tr>
      <w:tr>
        <w:tc>
          <w:tcPr>
            <w:tcW w:type="dxa" w:w="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C2C2C"/>
                <w:sz w:val="18"/>
                <w:szCs w:val="18"/>
              </w:rPr>
              <w:t xml:space="preserve">J7</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565C0"/>
                <w:sz w:val="18"/>
                <w:szCs w:val="18"/>
              </w:rPr>
              <w:t xml:space="preserve">14/07/2026</w:t>
            </w:r>
          </w:p>
        </w:tc>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Mise en place des data quality gates dans les pipelines Kafka</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6C2DC7"/>
                <w:sz w:val="16"/>
                <w:szCs w:val="16"/>
              </w:rPr>
              <w:t xml:space="preserve">Michael JSON</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Quality gates actives</w:t>
            </w:r>
          </w:p>
        </w:tc>
      </w:tr>
      <w:tr>
        <w:tc>
          <w:tcPr>
            <w:tcW w:type="dxa" w:w="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C2C2C"/>
                <w:sz w:val="18"/>
                <w:szCs w:val="18"/>
              </w:rPr>
              <w:t xml:space="preserve">J8</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565C0"/>
                <w:sz w:val="18"/>
                <w:szCs w:val="18"/>
              </w:rPr>
              <w:t xml:space="preserve">21/07/2026</w:t>
            </w:r>
          </w:p>
        </w:tc>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Formation Niveau 2 — Outils de gouvernance (S3)</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6C2DC7"/>
                <w:sz w:val="16"/>
                <w:szCs w:val="16"/>
              </w:rPr>
              <w:t xml:space="preserve">Formateurs Data</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Support + quiz validation</w:t>
            </w:r>
          </w:p>
        </w:tc>
      </w:tr>
      <w:tr>
        <w:tc>
          <w:tcPr>
            <w:tcW w:type="dxa" w:w="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C2C2C"/>
                <w:sz w:val="18"/>
                <w:szCs w:val="18"/>
              </w:rPr>
              <w:t xml:space="preserve">J9</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565C0"/>
                <w:sz w:val="18"/>
                <w:szCs w:val="18"/>
              </w:rPr>
              <w:t xml:space="preserve">28/07/2026</w:t>
            </w:r>
          </w:p>
        </w:tc>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Audit sécurité accès User Engagement (Splunk pilote)</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6C2DC7"/>
                <w:sz w:val="16"/>
                <w:szCs w:val="16"/>
              </w:rPr>
              <w:t xml:space="preserve">Kurt Contain</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Rapport audit sécurité</w:t>
            </w:r>
          </w:p>
        </w:tc>
      </w:tr>
      <w:tr>
        <w:tc>
          <w:tcPr>
            <w:tcW w:type="dxa" w:w="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C2C2C"/>
                <w:sz w:val="18"/>
                <w:szCs w:val="18"/>
              </w:rPr>
              <w:t xml:space="preserve">J10</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565C0"/>
                <w:sz w:val="18"/>
                <w:szCs w:val="18"/>
              </w:rPr>
              <w:t xml:space="preserve">04/08/2026</w:t>
            </w:r>
          </w:p>
        </w:tc>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Dashboard Power BI KPIs pilote — Version 1</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6C2DC7"/>
                <w:sz w:val="16"/>
                <w:szCs w:val="16"/>
              </w:rPr>
              <w:t xml:space="preserve">Taylor Script</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Dashboard livré</w:t>
            </w:r>
          </w:p>
        </w:tc>
      </w:tr>
      <w:tr>
        <w:tc>
          <w:tcPr>
            <w:tcW w:type="dxa" w:w="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C2C2C"/>
                <w:sz w:val="18"/>
                <w:szCs w:val="18"/>
              </w:rPr>
              <w:t xml:space="preserve">J11</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565C0"/>
                <w:sz w:val="18"/>
                <w:szCs w:val="18"/>
              </w:rPr>
              <w:t xml:space="preserve">11/08/2026</w:t>
            </w:r>
          </w:p>
        </w:tc>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Revue mi-parcours — Comité de Gouvernance</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6C2DC7"/>
                <w:sz w:val="16"/>
                <w:szCs w:val="16"/>
              </w:rPr>
              <w:t xml:space="preserve">CDO</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Rapport d'avancement</w:t>
            </w:r>
          </w:p>
        </w:tc>
      </w:tr>
      <w:tr>
        <w:tc>
          <w:tcPr>
            <w:tcW w:type="dxa" w:w="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C2C2C"/>
                <w:sz w:val="18"/>
                <w:szCs w:val="18"/>
              </w:rPr>
              <w:t xml:space="preserve">J12</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565C0"/>
                <w:sz w:val="18"/>
                <w:szCs w:val="18"/>
              </w:rPr>
              <w:t xml:space="preserve">25/08/2026</w:t>
            </w:r>
          </w:p>
        </w:tc>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Formation Niveau 3 — Bonnes pratiques avancées (S6)</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6C2DC7"/>
                <w:sz w:val="16"/>
                <w:szCs w:val="16"/>
              </w:rPr>
              <w:t xml:space="preserve">Formateurs Data</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Certification interne</w:t>
            </w:r>
          </w:p>
        </w:tc>
      </w:tr>
      <w:tr>
        <w:tc>
          <w:tcPr>
            <w:tcW w:type="dxa" w:w="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C2C2C"/>
                <w:sz w:val="18"/>
                <w:szCs w:val="18"/>
              </w:rPr>
              <w:t xml:space="preserve">J13</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565C0"/>
                <w:sz w:val="18"/>
                <w:szCs w:val="18"/>
              </w:rPr>
              <w:t xml:space="preserve">08/09/2026</w:t>
            </w:r>
          </w:p>
        </w:tc>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Go-live pilote — Bilan final et recommandations Phase 2</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6C2DC7"/>
                <w:sz w:val="16"/>
                <w:szCs w:val="16"/>
              </w:rPr>
              <w:t xml:space="preserve">CDO + DPO + CISO</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Rapport de pilote</w:t>
            </w:r>
          </w:p>
        </w:tc>
      </w:tr>
    </w:tbl>
    <w:p>
      <w:pPr>
        <w:spacing w:after="120"/>
      </w:pPr>
    </w:p>
    <w:p>
      <w:pPr>
        <w:pStyle w:val="Heading2"/>
        <w:spacing w:after="80" w:before="160"/>
      </w:pPr>
      <w:r>
        <w:rPr>
          <w:rFonts w:ascii="Calibri" w:cs="Calibri" w:eastAsia="Calibri" w:hAnsi="Calibri"/>
          <w:b/>
          <w:bCs/>
          <w:color w:val="6C2DC7"/>
          <w:sz w:val="22"/>
          <w:szCs w:val="22"/>
        </w:rPr>
        <w:t xml:space="preserve">4.4 Communication et suivi</w:t>
      </w:r>
    </w:p>
    <w:p>
      <w:pPr>
        <w:pStyle w:val="ListParagraph"/>
        <w:numPr>
          <w:ilvl w:val="0"/>
          <w:numId w:val="1"/>
        </w:numPr>
        <w:spacing w:after="80"/>
      </w:pPr>
      <w:r>
        <w:rPr>
          <w:rFonts w:ascii="Calibri" w:cs="Calibri" w:eastAsia="Calibri" w:hAnsi="Calibri"/>
          <w:b w:val="false"/>
          <w:bCs w:val="false"/>
          <w:color w:val="2C2C2C"/>
          <w:sz w:val="20"/>
          <w:szCs w:val="20"/>
        </w:rPr>
        <w:t xml:space="preserve">Canal Slack dédié : #pilote-gouvernance-user-engagement (toute l'équipe pilote)</w:t>
      </w:r>
    </w:p>
    <w:p>
      <w:pPr>
        <w:pStyle w:val="ListParagraph"/>
        <w:numPr>
          <w:ilvl w:val="0"/>
          <w:numId w:val="1"/>
        </w:numPr>
        <w:spacing w:after="80"/>
      </w:pPr>
      <w:r>
        <w:rPr>
          <w:rFonts w:ascii="Calibri" w:cs="Calibri" w:eastAsia="Calibri" w:hAnsi="Calibri"/>
          <w:b w:val="false"/>
          <w:bCs w:val="false"/>
          <w:color w:val="2C2C2C"/>
          <w:sz w:val="20"/>
          <w:szCs w:val="20"/>
        </w:rPr>
        <w:t xml:space="preserve">Page Notion dédiée : documentation des politiques, livrables, comptes-rendus de réunion</w:t>
      </w:r>
    </w:p>
    <w:p>
      <w:pPr>
        <w:pStyle w:val="ListParagraph"/>
        <w:numPr>
          <w:ilvl w:val="0"/>
          <w:numId w:val="1"/>
        </w:numPr>
        <w:spacing w:after="80"/>
      </w:pPr>
      <w:r>
        <w:rPr>
          <w:rFonts w:ascii="Calibri" w:cs="Calibri" w:eastAsia="Calibri" w:hAnsi="Calibri"/>
          <w:b w:val="false"/>
          <w:bCs w:val="false"/>
          <w:color w:val="2C2C2C"/>
          <w:sz w:val="20"/>
          <w:szCs w:val="20"/>
        </w:rPr>
        <w:t xml:space="preserve">Réunion hebdomadaire du pilote : chaque lundi 10h-11h (CDO + équipe pilote)</w:t>
      </w:r>
    </w:p>
    <w:p>
      <w:pPr>
        <w:pStyle w:val="ListParagraph"/>
        <w:numPr>
          <w:ilvl w:val="0"/>
          <w:numId w:val="1"/>
        </w:numPr>
        <w:spacing w:after="80"/>
      </w:pPr>
      <w:r>
        <w:rPr>
          <w:rFonts w:ascii="Calibri" w:cs="Calibri" w:eastAsia="Calibri" w:hAnsi="Calibri"/>
          <w:b w:val="false"/>
          <w:bCs w:val="false"/>
          <w:color w:val="2C2C2C"/>
          <w:sz w:val="20"/>
          <w:szCs w:val="20"/>
        </w:rPr>
        <w:t xml:space="preserve">Formulaire de retour anonyme (Google Form) : envoyé en semaine 4 et semaine 8</w:t>
      </w:r>
    </w:p>
    <w:p>
      <w:pPr>
        <w:pStyle w:val="ListParagraph"/>
        <w:numPr>
          <w:ilvl w:val="0"/>
          <w:numId w:val="1"/>
        </w:numPr>
        <w:spacing w:after="80"/>
      </w:pPr>
      <w:r>
        <w:rPr>
          <w:rFonts w:ascii="Calibri" w:cs="Calibri" w:eastAsia="Calibri" w:hAnsi="Calibri"/>
          <w:b w:val="false"/>
          <w:bCs w:val="false"/>
          <w:color w:val="2C2C2C"/>
          <w:sz w:val="20"/>
          <w:szCs w:val="20"/>
        </w:rPr>
        <w:t xml:space="preserve">Reporting mensuel au Data Governance Committee et au COMEX via Power BI</w:t>
      </w:r>
    </w:p>
    <w:p>
      <w:pPr>
        <w:spacing w:after="160"/>
      </w:pPr>
    </w:p>
    <w:p>
      <w:r>
        <w:br w:type="page"/>
      </w:r>
    </w:p>
    <w:p>
      <w:pPr>
        <w:pStyle w:val="Heading1"/>
        <w:pBdr>
          <w:bottom w:val="single" w:color="1DB954" w:sz="4" w:space="4"/>
        </w:pBdr>
        <w:spacing w:after="120" w:before="280"/>
      </w:pPr>
      <w:r>
        <w:rPr>
          <w:rFonts w:ascii="Calibri" w:cs="Calibri" w:eastAsia="Calibri" w:hAnsi="Calibri"/>
          <w:b/>
          <w:bCs/>
          <w:color w:val="1A1A2E"/>
          <w:sz w:val="26"/>
          <w:szCs w:val="26"/>
        </w:rPr>
        <w:t xml:space="preserve">5. Indicateurs de succès (KPIs)</w:t>
      </w:r>
    </w:p>
    <w:p>
      <w:pPr>
        <w:spacing w:after="100"/>
        <w:jc w:val="both"/>
      </w:pPr>
      <w:r>
        <w:rPr>
          <w:rFonts w:ascii="Calibri" w:cs="Calibri" w:eastAsia="Calibri" w:hAnsi="Calibri"/>
          <w:b w:val="false"/>
          <w:bCs w:val="false"/>
          <w:i w:val="false"/>
          <w:iCs w:val="false"/>
          <w:color w:val="2C2C2C"/>
          <w:sz w:val="20"/>
          <w:szCs w:val="20"/>
        </w:rPr>
        <w:t xml:space="preserve">Les 7 KPIs suivants permettent de mesurer l'efficacité du programme de gouvernance. Chaque KPI est associé à une cible chiffrée, une fréquence de mesure et un outil de mesure.</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KPI</w:t>
            </w:r>
          </w:p>
        </w:tc>
        <w:tc>
          <w:tcPr>
            <w:tcW w:type="dxa" w:w="1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Mesure</w:t>
            </w:r>
          </w:p>
        </w:tc>
        <w:tc>
          <w:tcPr>
            <w:tcW w:type="dxa" w:w="1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Cible (18 mois)</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Fréquence</w:t>
            </w:r>
          </w:p>
        </w:tc>
        <w:tc>
          <w:tcPr>
            <w:tcW w:type="dxa" w:w="23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Outil de mesure</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Score de qualité des données (DQ Score)</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6"/>
                <w:szCs w:val="16"/>
              </w:rPr>
              <w:t xml:space="preserve">DQ Score moyen global</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DB954"/>
                <w:sz w:val="16"/>
                <w:szCs w:val="16"/>
              </w:rPr>
              <w:t xml:space="preserve">+25% vs baseline (cible &gt; 80%)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C2C2C"/>
                <w:sz w:val="16"/>
                <w:szCs w:val="16"/>
              </w:rPr>
              <w:t xml:space="preserve">Mensuel</w:t>
            </w:r>
          </w:p>
        </w:tc>
        <w:tc>
          <w:tcPr>
            <w:tcW w:type="dxa" w:w="23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565C0"/>
                <w:sz w:val="16"/>
                <w:szCs w:val="16"/>
              </w:rPr>
              <w:t xml:space="preserve">Ataccama ONE</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Réduction des doublons</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6"/>
                <w:szCs w:val="16"/>
              </w:rPr>
              <w:t xml:space="preserve">% de doublons par dataset</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DB954"/>
                <w:sz w:val="16"/>
                <w:szCs w:val="16"/>
              </w:rPr>
              <w:t xml:space="preserve">-30% de doublons en 12 mois</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C2C2C"/>
                <w:sz w:val="16"/>
                <w:szCs w:val="16"/>
              </w:rPr>
              <w:t xml:space="preserve">Mensuel</w:t>
            </w:r>
          </w:p>
        </w:tc>
        <w:tc>
          <w:tcPr>
            <w:tcW w:type="dxa" w:w="23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565C0"/>
                <w:sz w:val="16"/>
                <w:szCs w:val="16"/>
              </w:rPr>
              <w:t xml:space="preserve">Ataccama ONE</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Délai d'accès aux données</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6"/>
                <w:szCs w:val="16"/>
              </w:rPr>
              <w:t xml:space="preserve">Temps moyen d'accès pour équipes métier</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DB954"/>
                <w:sz w:val="16"/>
                <w:szCs w:val="16"/>
              </w:rPr>
              <w:t xml:space="preserve">-70% du temps (cible &lt; 30 min)</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C2C2C"/>
                <w:sz w:val="16"/>
                <w:szCs w:val="16"/>
              </w:rPr>
              <w:t xml:space="preserve">Trimestriel</w:t>
            </w:r>
          </w:p>
        </w:tc>
        <w:tc>
          <w:tcPr>
            <w:tcW w:type="dxa" w:w="23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565C0"/>
                <w:sz w:val="16"/>
                <w:szCs w:val="16"/>
              </w:rPr>
              <w:t xml:space="preserve">Alation + Jira</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Satisfaction utilisateurs data</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6"/>
                <w:szCs w:val="16"/>
              </w:rPr>
              <w:t xml:space="preserve">Score enquête interne</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DB954"/>
                <w:sz w:val="16"/>
                <w:szCs w:val="16"/>
              </w:rPr>
              <w:t xml:space="preserve">80% de satisfaction (Likert 4-5)</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C2C2C"/>
                <w:sz w:val="16"/>
                <w:szCs w:val="16"/>
              </w:rPr>
              <w:t xml:space="preserve">Semestriel</w:t>
            </w:r>
          </w:p>
        </w:tc>
        <w:tc>
          <w:tcPr>
            <w:tcW w:type="dxa" w:w="23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565C0"/>
                <w:sz w:val="16"/>
                <w:szCs w:val="16"/>
              </w:rPr>
              <w:t xml:space="preserve">Formulaire anonyme</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Incidents de sécurité</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6"/>
                <w:szCs w:val="16"/>
              </w:rPr>
              <w:t xml:space="preserve">Nombre d'incidents par trimestre</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DB954"/>
                <w:sz w:val="16"/>
                <w:szCs w:val="16"/>
              </w:rPr>
              <w:t xml:space="preserve">-50% incidents en 12 mois</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C2C2C"/>
                <w:sz w:val="16"/>
                <w:szCs w:val="16"/>
              </w:rPr>
              <w:t xml:space="preserve">Mensuel</w:t>
            </w:r>
          </w:p>
        </w:tc>
        <w:tc>
          <w:tcPr>
            <w:tcW w:type="dxa" w:w="23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565C0"/>
                <w:sz w:val="16"/>
                <w:szCs w:val="16"/>
              </w:rPr>
              <w:t xml:space="preserve">Splunk SIEM</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Couverture du catalogue</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6"/>
                <w:szCs w:val="16"/>
              </w:rPr>
              <w:t xml:space="preserve">% datasets documentés dans Alation</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DB954"/>
                <w:sz w:val="16"/>
                <w:szCs w:val="16"/>
              </w:rPr>
              <w:t xml:space="preserve">80% des datasets critiques</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C2C2C"/>
                <w:sz w:val="16"/>
                <w:szCs w:val="16"/>
              </w:rPr>
              <w:t xml:space="preserve">Mensuel</w:t>
            </w:r>
          </w:p>
        </w:tc>
        <w:tc>
          <w:tcPr>
            <w:tcW w:type="dxa" w:w="23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565C0"/>
                <w:sz w:val="16"/>
                <w:szCs w:val="16"/>
              </w:rPr>
              <w:t xml:space="preserve">Alation</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Conformité DSR</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6"/>
                <w:szCs w:val="16"/>
              </w:rPr>
              <w:t xml:space="preserve">% demandes traitées dans les SLA</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DB954"/>
                <w:sz w:val="16"/>
                <w:szCs w:val="16"/>
              </w:rPr>
              <w:t xml:space="preserve">&gt; 95% dans les SLA réglementaires</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C2C2C"/>
                <w:sz w:val="16"/>
                <w:szCs w:val="16"/>
              </w:rPr>
              <w:t xml:space="preserve">Mensuel</w:t>
            </w:r>
          </w:p>
        </w:tc>
        <w:tc>
          <w:tcPr>
            <w:tcW w:type="dxa" w:w="23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565C0"/>
                <w:sz w:val="16"/>
                <w:szCs w:val="16"/>
              </w:rPr>
              <w:t xml:space="preserve">OneTrust</w:t>
            </w:r>
          </w:p>
        </w:tc>
      </w:tr>
    </w:tbl>
    <w:p>
      <w:pPr>
        <w:spacing w:after="160"/>
      </w:pPr>
    </w:p>
    <w:p>
      <w:pPr>
        <w:pStyle w:val="Heading1"/>
        <w:pBdr>
          <w:bottom w:val="single" w:color="1DB954" w:sz="4" w:space="4"/>
        </w:pBdr>
        <w:spacing w:after="120" w:before="280"/>
      </w:pPr>
      <w:r>
        <w:rPr>
          <w:rFonts w:ascii="Calibri" w:cs="Calibri" w:eastAsia="Calibri" w:hAnsi="Calibri"/>
          <w:b/>
          <w:bCs/>
          <w:color w:val="1A1A2E"/>
          <w:sz w:val="26"/>
          <w:szCs w:val="26"/>
        </w:rPr>
        <w:t xml:space="preserve">6. Gestion des risques</w:t>
      </w:r>
    </w:p>
    <w:p>
      <w:pPr>
        <w:spacing w:after="100"/>
        <w:jc w:val="both"/>
      </w:pPr>
      <w:r>
        <w:rPr>
          <w:rFonts w:ascii="Calibri" w:cs="Calibri" w:eastAsia="Calibri" w:hAnsi="Calibri"/>
          <w:b w:val="false"/>
          <w:bCs w:val="false"/>
          <w:i w:val="false"/>
          <w:iCs w:val="false"/>
          <w:color w:val="2C2C2C"/>
          <w:sz w:val="20"/>
          <w:szCs w:val="20"/>
        </w:rPr>
        <w:t xml:space="preserve">6 risques ont été identifiés pour ce programme. Chaque risque est évalué par sa probabilité et son impact, et une stratégie de mitigation est proposée.</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Risque</w:t>
            </w:r>
          </w:p>
        </w:tc>
        <w:tc>
          <w:tcPr>
            <w:tcW w:type="dxa" w:w="2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Description</w:t>
            </w:r>
          </w:p>
        </w:tc>
        <w:tc>
          <w:tcPr>
            <w:tcW w:type="dxa" w:w="1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Probabilité / Impact</w:t>
            </w:r>
          </w:p>
        </w:tc>
        <w:tc>
          <w:tcPr>
            <w:tcW w:type="dxa" w:w="2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Mitigation</w:t>
            </w:r>
          </w:p>
        </w:tc>
      </w:tr>
      <w:tr>
        <w:tc>
          <w:tcPr>
            <w:tcW w:type="dxa" w:w="400"/>
            <w:tcBorders>
              <w:top w:val="single" w:color="D0D0D0" w:sz="1"/>
              <w:left w:val="single" w:color="D0D0D0" w:sz="1"/>
              <w:bottom w:val="single" w:color="D0D0D0" w:sz="1"/>
              <w:right w:val="single" w:color="D0D0D0" w:sz="1"/>
            </w:tcBorders>
            <w:shd w:fill="FADBD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C0392B"/>
                <w:sz w:val="18"/>
                <w:szCs w:val="18"/>
              </w:rPr>
              <w:t xml:space="preserve">R1</w:t>
            </w:r>
          </w:p>
        </w:tc>
        <w:tc>
          <w:tcPr>
            <w:tcW w:type="dxa" w:w="20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Résistance au changement</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Rejet du programme par les équipes techniques habituées à travailler sans contrainte de gouvernance.</w:t>
            </w:r>
          </w:p>
        </w:tc>
        <w:tc>
          <w:tcPr>
            <w:tcW w:type="dxa" w:w="1600"/>
            <w:tcBorders>
              <w:top w:val="single" w:color="D0D0D0" w:sz="1"/>
              <w:left w:val="single" w:color="D0D0D0" w:sz="1"/>
              <w:bottom w:val="single" w:color="D0D0D0" w:sz="1"/>
              <w:right w:val="single" w:color="D0D0D0" w:sz="1"/>
            </w:tcBorders>
            <w:shd w:fill="FADBD8" w:val="clear"/>
            <w:tcMar>
              <w:top w:type="dxa" w:w="60"/>
              <w:left w:type="dxa" w:w="80"/>
              <w:bottom w:type="dxa" w:w="60"/>
              <w:right w:type="dxa" w:w="80"/>
            </w:tcMar>
            <w:vAlign w:val="center"/>
          </w:tcPr>
          <w:p>
            <w:pPr>
              <w:jc w:val="center"/>
            </w:pPr>
            <w:r>
              <w:rPr>
                <w:rFonts w:ascii="Calibri" w:cs="Calibri" w:eastAsia="Calibri" w:hAnsi="Calibri"/>
                <w:b/>
                <w:bCs/>
                <w:color w:val="C0392B"/>
                <w:sz w:val="15"/>
                <w:szCs w:val="15"/>
              </w:rPr>
              <w:t xml:space="preserve">HAUTE / FORT</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Communication proactive, implication des équipes dès la Phase 1. Désignation de sponsors Data Champions dans chaque squad.</w:t>
            </w:r>
          </w:p>
        </w:tc>
      </w:tr>
      <w:tr>
        <w:tc>
          <w:tcPr>
            <w:tcW w:type="dxa" w:w="400"/>
            <w:tcBorders>
              <w:top w:val="single" w:color="D0D0D0" w:sz="1"/>
              <w:left w:val="single" w:color="D0D0D0" w:sz="1"/>
              <w:bottom w:val="single" w:color="D0D0D0" w:sz="1"/>
              <w:right w:val="single" w:color="D0D0D0" w:sz="1"/>
            </w:tcBorders>
            <w:shd w:fill="FDEBD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E67E22"/>
                <w:sz w:val="18"/>
                <w:szCs w:val="18"/>
              </w:rPr>
              <w:t xml:space="preserve">R2</w:t>
            </w:r>
          </w:p>
        </w:tc>
        <w:tc>
          <w:tcPr>
            <w:tcW w:type="dxa" w:w="20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Contraintes techniques (legacy)</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Pipelines hérités non compatibles avec les data contracts ou les quality gates d'Ataccama.</w:t>
            </w:r>
          </w:p>
        </w:tc>
        <w:tc>
          <w:tcPr>
            <w:tcW w:type="dxa" w:w="1600"/>
            <w:tcBorders>
              <w:top w:val="single" w:color="D0D0D0" w:sz="1"/>
              <w:left w:val="single" w:color="D0D0D0" w:sz="1"/>
              <w:bottom w:val="single" w:color="D0D0D0" w:sz="1"/>
              <w:right w:val="single" w:color="D0D0D0" w:sz="1"/>
            </w:tcBorders>
            <w:shd w:fill="FDEBD0" w:val="clear"/>
            <w:tcMar>
              <w:top w:type="dxa" w:w="60"/>
              <w:left w:type="dxa" w:w="80"/>
              <w:bottom w:type="dxa" w:w="60"/>
              <w:right w:type="dxa" w:w="80"/>
            </w:tcMar>
            <w:vAlign w:val="center"/>
          </w:tcPr>
          <w:p>
            <w:pPr>
              <w:jc w:val="center"/>
            </w:pPr>
            <w:r>
              <w:rPr>
                <w:rFonts w:ascii="Calibri" w:cs="Calibri" w:eastAsia="Calibri" w:hAnsi="Calibri"/>
                <w:b/>
                <w:bCs/>
                <w:color w:val="E67E22"/>
                <w:sz w:val="15"/>
                <w:szCs w:val="15"/>
              </w:rPr>
              <w:t xml:space="preserve">MODÉRÉE / FORT</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Audit technique préalable des pipelines. Plan de migration progressif. Exceptions temporaires documentées pour les systèmes legacy critiques.</w:t>
            </w:r>
          </w:p>
        </w:tc>
      </w:tr>
      <w:tr>
        <w:tc>
          <w:tcPr>
            <w:tcW w:type="dxa" w:w="400"/>
            <w:tcBorders>
              <w:top w:val="single" w:color="D0D0D0" w:sz="1"/>
              <w:left w:val="single" w:color="D0D0D0" w:sz="1"/>
              <w:bottom w:val="single" w:color="D0D0D0" w:sz="1"/>
              <w:right w:val="single" w:color="D0D0D0" w:sz="1"/>
            </w:tcBorders>
            <w:shd w:fill="FDEBD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E67E22"/>
                <w:sz w:val="18"/>
                <w:szCs w:val="18"/>
              </w:rPr>
              <w:t xml:space="preserve">R3</w:t>
            </w:r>
          </w:p>
        </w:tc>
        <w:tc>
          <w:tcPr>
            <w:tcW w:type="dxa" w:w="20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Non-conformité réglementaire</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Nouvelle réglementation (EU AI Act, DSA) imposant des exigences non prévues dans ce plan.</w:t>
            </w:r>
          </w:p>
        </w:tc>
        <w:tc>
          <w:tcPr>
            <w:tcW w:type="dxa" w:w="1600"/>
            <w:tcBorders>
              <w:top w:val="single" w:color="D0D0D0" w:sz="1"/>
              <w:left w:val="single" w:color="D0D0D0" w:sz="1"/>
              <w:bottom w:val="single" w:color="D0D0D0" w:sz="1"/>
              <w:right w:val="single" w:color="D0D0D0" w:sz="1"/>
            </w:tcBorders>
            <w:shd w:fill="FDEBD0" w:val="clear"/>
            <w:tcMar>
              <w:top w:type="dxa" w:w="60"/>
              <w:left w:type="dxa" w:w="80"/>
              <w:bottom w:type="dxa" w:w="60"/>
              <w:right w:type="dxa" w:w="80"/>
            </w:tcMar>
            <w:vAlign w:val="center"/>
          </w:tcPr>
          <w:p>
            <w:pPr>
              <w:jc w:val="center"/>
            </w:pPr>
            <w:r>
              <w:rPr>
                <w:rFonts w:ascii="Calibri" w:cs="Calibri" w:eastAsia="Calibri" w:hAnsi="Calibri"/>
                <w:b/>
                <w:bCs/>
                <w:color w:val="E67E22"/>
                <w:sz w:val="15"/>
                <w:szCs w:val="15"/>
              </w:rPr>
              <w:t xml:space="preserve">MODÉRÉE / FORT</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Veille réglementaire mensuelle par le DPO et le Compliance Manager. Clause de révision du plan tous les 6 mois.</w:t>
            </w:r>
          </w:p>
        </w:tc>
      </w:tr>
      <w:tr>
        <w:tc>
          <w:tcPr>
            <w:tcW w:type="dxa" w:w="400"/>
            <w:tcBorders>
              <w:top w:val="single" w:color="D0D0D0" w:sz="1"/>
              <w:left w:val="single" w:color="D0D0D0" w:sz="1"/>
              <w:bottom w:val="single" w:color="D0D0D0" w:sz="1"/>
              <w:right w:val="single" w:color="D0D0D0" w:sz="1"/>
            </w:tcBorders>
            <w:shd w:fill="FDEBD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E67E22"/>
                <w:sz w:val="18"/>
                <w:szCs w:val="18"/>
              </w:rPr>
              <w:t xml:space="preserve">R4</w:t>
            </w:r>
          </w:p>
        </w:tc>
        <w:tc>
          <w:tcPr>
            <w:tcW w:type="dxa" w:w="20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Dépassement budgétaire</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Coûts de licence des outils (Alation, Ataccama, OneTrust, Splunk) supérieurs aux estimations initiales.</w:t>
            </w:r>
          </w:p>
        </w:tc>
        <w:tc>
          <w:tcPr>
            <w:tcW w:type="dxa" w:w="1600"/>
            <w:tcBorders>
              <w:top w:val="single" w:color="D0D0D0" w:sz="1"/>
              <w:left w:val="single" w:color="D0D0D0" w:sz="1"/>
              <w:bottom w:val="single" w:color="D0D0D0" w:sz="1"/>
              <w:right w:val="single" w:color="D0D0D0" w:sz="1"/>
            </w:tcBorders>
            <w:shd w:fill="FDEBD0" w:val="clear"/>
            <w:tcMar>
              <w:top w:type="dxa" w:w="60"/>
              <w:left w:type="dxa" w:w="80"/>
              <w:bottom w:type="dxa" w:w="60"/>
              <w:right w:type="dxa" w:w="80"/>
            </w:tcMar>
            <w:vAlign w:val="center"/>
          </w:tcPr>
          <w:p>
            <w:pPr>
              <w:jc w:val="center"/>
            </w:pPr>
            <w:r>
              <w:rPr>
                <w:rFonts w:ascii="Calibri" w:cs="Calibri" w:eastAsia="Calibri" w:hAnsi="Calibri"/>
                <w:b/>
                <w:bCs/>
                <w:color w:val="E67E22"/>
                <w:sz w:val="15"/>
                <w:szCs w:val="15"/>
              </w:rPr>
              <w:t xml:space="preserve">MODÉRÉE / MODÉRÉ</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Négociation de licences group (global enterprise agreement). Priorisation du déploiement par phase. Budget de contingence de 15% prévu.</w:t>
            </w:r>
          </w:p>
        </w:tc>
      </w:tr>
      <w:tr>
        <w:tc>
          <w:tcPr>
            <w:tcW w:type="dxa" w:w="400"/>
            <w:tcBorders>
              <w:top w:val="single" w:color="D0D0D0" w:sz="1"/>
              <w:left w:val="single" w:color="D0D0D0" w:sz="1"/>
              <w:bottom w:val="single" w:color="D0D0D0" w:sz="1"/>
              <w:right w:val="single" w:color="D0D0D0" w:sz="1"/>
            </w:tcBorders>
            <w:shd w:fill="FADBD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C0392B"/>
                <w:sz w:val="18"/>
                <w:szCs w:val="18"/>
              </w:rPr>
              <w:t xml:space="preserve">R5</w:t>
            </w:r>
          </w:p>
        </w:tc>
        <w:tc>
          <w:tcPr>
            <w:tcW w:type="dxa" w:w="20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Surcharge des ressources</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L'équipe pilote est sollicitée simultanément par d'autres projets produit prioritaires, retardant les jalons.</w:t>
            </w:r>
          </w:p>
        </w:tc>
        <w:tc>
          <w:tcPr>
            <w:tcW w:type="dxa" w:w="1600"/>
            <w:tcBorders>
              <w:top w:val="single" w:color="D0D0D0" w:sz="1"/>
              <w:left w:val="single" w:color="D0D0D0" w:sz="1"/>
              <w:bottom w:val="single" w:color="D0D0D0" w:sz="1"/>
              <w:right w:val="single" w:color="D0D0D0" w:sz="1"/>
            </w:tcBorders>
            <w:shd w:fill="FADBD8" w:val="clear"/>
            <w:tcMar>
              <w:top w:type="dxa" w:w="60"/>
              <w:left w:type="dxa" w:w="80"/>
              <w:bottom w:type="dxa" w:w="60"/>
              <w:right w:type="dxa" w:w="80"/>
            </w:tcMar>
            <w:vAlign w:val="center"/>
          </w:tcPr>
          <w:p>
            <w:pPr>
              <w:jc w:val="center"/>
            </w:pPr>
            <w:r>
              <w:rPr>
                <w:rFonts w:ascii="Calibri" w:cs="Calibri" w:eastAsia="Calibri" w:hAnsi="Calibri"/>
                <w:b/>
                <w:bCs/>
                <w:color w:val="C0392B"/>
                <w:sz w:val="15"/>
                <w:szCs w:val="15"/>
              </w:rPr>
              <w:t xml:space="preserve">HAUTE / MODÉRÉ</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Accord formel avec les managers des squads pour garantir les disponibilités (30-70% selon rôle). Points d'arbitrage bi-hebdomadaires avec le CDO.</w:t>
            </w:r>
          </w:p>
        </w:tc>
      </w:tr>
      <w:tr>
        <w:tc>
          <w:tcPr>
            <w:tcW w:type="dxa" w:w="400"/>
            <w:tcBorders>
              <w:top w:val="single" w:color="D0D0D0" w:sz="1"/>
              <w:left w:val="single" w:color="D0D0D0" w:sz="1"/>
              <w:bottom w:val="single" w:color="D0D0D0" w:sz="1"/>
              <w:right w:val="single" w:color="D0D0D0" w:sz="1"/>
            </w:tcBorders>
            <w:shd w:fill="FADBD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C0392B"/>
                <w:sz w:val="18"/>
                <w:szCs w:val="18"/>
              </w:rPr>
              <w:t xml:space="preserve">R6</w:t>
            </w:r>
          </w:p>
        </w:tc>
        <w:tc>
          <w:tcPr>
            <w:tcW w:type="dxa" w:w="20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Données non documentées</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6"/>
                <w:szCs w:val="16"/>
              </w:rPr>
              <w:t xml:space="preserve">Découverte de datasets orphelins (sans Data Owner identifié) lors de l'inventaire Alation, créant des zones grises de responsabilité.</w:t>
            </w:r>
          </w:p>
        </w:tc>
        <w:tc>
          <w:tcPr>
            <w:tcW w:type="dxa" w:w="1600"/>
            <w:tcBorders>
              <w:top w:val="single" w:color="D0D0D0" w:sz="1"/>
              <w:left w:val="single" w:color="D0D0D0" w:sz="1"/>
              <w:bottom w:val="single" w:color="D0D0D0" w:sz="1"/>
              <w:right w:val="single" w:color="D0D0D0" w:sz="1"/>
            </w:tcBorders>
            <w:shd w:fill="FADBD8" w:val="clear"/>
            <w:tcMar>
              <w:top w:type="dxa" w:w="60"/>
              <w:left w:type="dxa" w:w="80"/>
              <w:bottom w:type="dxa" w:w="60"/>
              <w:right w:type="dxa" w:w="80"/>
            </w:tcMar>
            <w:vAlign w:val="center"/>
          </w:tcPr>
          <w:p>
            <w:pPr>
              <w:jc w:val="center"/>
            </w:pPr>
            <w:r>
              <w:rPr>
                <w:rFonts w:ascii="Calibri" w:cs="Calibri" w:eastAsia="Calibri" w:hAnsi="Calibri"/>
                <w:b/>
                <w:bCs/>
                <w:color w:val="C0392B"/>
                <w:sz w:val="15"/>
                <w:szCs w:val="15"/>
              </w:rPr>
              <w:t xml:space="preserve">HAUTE / MODÉRÉ</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Protocole d'attribution d'urgence : tout dataset sans Data Owner est automatiquement rattaché au CDO pendant 30 jours maximum. Processus de nomination accéléré.</w:t>
            </w:r>
          </w:p>
        </w:tc>
      </w:tr>
    </w:tbl>
    <w:p>
      <w:pPr>
        <w:spacing w:after="160"/>
      </w:pPr>
    </w:p>
    <w:p>
      <w:r>
        <w:br w:type="page"/>
      </w:r>
    </w:p>
    <w:p>
      <w:pPr>
        <w:pStyle w:val="Heading1"/>
        <w:pBdr>
          <w:bottom w:val="single" w:color="1DB954" w:sz="4" w:space="4"/>
        </w:pBdr>
        <w:spacing w:after="120" w:before="280"/>
      </w:pPr>
      <w:r>
        <w:rPr>
          <w:rFonts w:ascii="Calibri" w:cs="Calibri" w:eastAsia="Calibri" w:hAnsi="Calibri"/>
          <w:b/>
          <w:bCs/>
          <w:color w:val="1A1A2E"/>
          <w:sz w:val="26"/>
          <w:szCs w:val="26"/>
        </w:rPr>
        <w:t xml:space="preserve">7. Plan de formation Data Literacy</w:t>
      </w:r>
    </w:p>
    <w:p>
      <w:pPr>
        <w:spacing w:after="100"/>
        <w:jc w:val="both"/>
      </w:pPr>
      <w:r>
        <w:rPr>
          <w:rFonts w:ascii="Calibri" w:cs="Calibri" w:eastAsia="Calibri" w:hAnsi="Calibri"/>
          <w:b w:val="false"/>
          <w:bCs w:val="false"/>
          <w:i w:val="false"/>
          <w:iCs w:val="false"/>
          <w:color w:val="2C2C2C"/>
          <w:sz w:val="20"/>
          <w:szCs w:val="20"/>
        </w:rPr>
        <w:t xml:space="preserve">Le programme de formation est structuré en 3 niveaux liés aux jalons du pilote. Chaque session est accompagnée d'un canal de communication dédié et d'un mécanisme de retour.</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Session</w:t>
            </w:r>
          </w:p>
        </w:tc>
        <w:tc>
          <w:tcPr>
            <w:tcW w:type="dxa" w:w="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Jalon</w:t>
            </w:r>
          </w:p>
        </w:tc>
        <w:tc>
          <w:tcPr>
            <w:tcW w:type="dxa" w:w="1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Date</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Titre</w:t>
            </w:r>
          </w:p>
        </w:tc>
        <w:tc>
          <w:tcPr>
            <w:tcW w:type="dxa" w:w="1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Public cible</w:t>
            </w:r>
          </w:p>
        </w:tc>
        <w:tc>
          <w:tcPr>
            <w:tcW w:type="dxa" w:w="3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Contenu principal</w:t>
            </w:r>
          </w:p>
        </w:tc>
      </w:tr>
      <w:tr>
        <w:tc>
          <w:tcPr>
            <w:tcW w:type="dxa" w:w="8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DB954"/>
                <w:sz w:val="18"/>
                <w:szCs w:val="18"/>
              </w:rPr>
              <w:t xml:space="preserve">S1</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DB954"/>
                <w:sz w:val="18"/>
                <w:szCs w:val="18"/>
              </w:rPr>
              <w:t xml:space="preserve">J3</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565C0"/>
                <w:sz w:val="18"/>
                <w:szCs w:val="18"/>
              </w:rPr>
              <w:t xml:space="preserve">16/06/2026</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Niveau 1 — Sensibilisation</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Tous collaborateurs</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5"/>
                <w:szCs w:val="15"/>
              </w:rPr>
              <w:t xml:space="preserve">Qu'est-ce que la gouvernance des données ? Pourquoi Spotify en a besoin. Enjeux RGPD (fine IMY 2023). Rôles et responsabilités. Canaux de contact.</w:t>
            </w:r>
          </w:p>
        </w:tc>
      </w:tr>
      <w:tr>
        <w:tc>
          <w:tcPr>
            <w:tcW w:type="dxa" w:w="8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6C2DC7"/>
                <w:sz w:val="18"/>
                <w:szCs w:val="18"/>
              </w:rPr>
              <w:t xml:space="preserve">S3</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6C2DC7"/>
                <w:sz w:val="18"/>
                <w:szCs w:val="18"/>
              </w:rPr>
              <w:t xml:space="preserve">J8</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565C0"/>
                <w:sz w:val="18"/>
                <w:szCs w:val="18"/>
              </w:rPr>
              <w:t xml:space="preserve">21/07/2026</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Niveau 2 — Outils</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Data Stewards, Data Owners, Analysts</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5"/>
                <w:szCs w:val="15"/>
              </w:rPr>
              <w:t xml:space="preserve">Prise en main Alation (catalogage). Utilisation Ataccama ONE (signalement anomalies qualité). OneTrust (gestion droits utilisateurs). Dashboard Power BI KPIs.</w:t>
            </w:r>
          </w:p>
        </w:tc>
      </w:tr>
      <w:tr>
        <w:tc>
          <w:tcPr>
            <w:tcW w:type="dxa" w:w="8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565C0"/>
                <w:sz w:val="18"/>
                <w:szCs w:val="18"/>
              </w:rPr>
              <w:t xml:space="preserve">S6</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565C0"/>
                <w:sz w:val="18"/>
                <w:szCs w:val="18"/>
              </w:rPr>
              <w:t xml:space="preserve">J12</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1565C0"/>
                <w:sz w:val="18"/>
                <w:szCs w:val="18"/>
              </w:rPr>
              <w:t xml:space="preserve">25/08/2026</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Niveau 3 — Bonnes pratiques avancées</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Data Engineers, Data Scientists</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C2C2C"/>
                <w:sz w:val="15"/>
                <w:szCs w:val="15"/>
              </w:rPr>
              <w:t xml:space="preserve">Data contracts (Avro/Protobuf). Règles de qualité avancées dans Kafka. Lineage des données avec DataHub. Certification interne Data Champion.</w:t>
            </w:r>
          </w:p>
        </w:tc>
      </w:tr>
    </w:tbl>
    <w:p>
      <w:pPr>
        <w:spacing w:after="120"/>
      </w:pPr>
    </w:p>
    <w:p>
      <w:pPr>
        <w:pStyle w:val="ListParagraph"/>
        <w:numPr>
          <w:ilvl w:val="0"/>
          <w:numId w:val="1"/>
        </w:numPr>
        <w:spacing w:after="80"/>
      </w:pPr>
      <w:r>
        <w:rPr>
          <w:rFonts w:ascii="Calibri" w:cs="Calibri" w:eastAsia="Calibri" w:hAnsi="Calibri"/>
          <w:b w:val="false"/>
          <w:bCs w:val="false"/>
          <w:color w:val="2C2C2C"/>
          <w:sz w:val="20"/>
          <w:szCs w:val="20"/>
        </w:rPr>
        <w:t xml:space="preserve">Canal Slack : #data-governance-training — Annonces de formation, supports, Q&amp;R post-session</w:t>
      </w:r>
    </w:p>
    <w:p>
      <w:pPr>
        <w:pStyle w:val="ListParagraph"/>
        <w:numPr>
          <w:ilvl w:val="0"/>
          <w:numId w:val="1"/>
        </w:numPr>
        <w:spacing w:after="80"/>
      </w:pPr>
      <w:r>
        <w:rPr>
          <w:rFonts w:ascii="Calibri" w:cs="Calibri" w:eastAsia="Calibri" w:hAnsi="Calibri"/>
          <w:b w:val="false"/>
          <w:bCs w:val="false"/>
          <w:color w:val="2C2C2C"/>
          <w:sz w:val="20"/>
          <w:szCs w:val="20"/>
        </w:rPr>
        <w:t xml:space="preserve">Supports : publiés sur la page Notion #data-governance-knowledge-base avant chaque session</w:t>
      </w:r>
    </w:p>
    <w:p>
      <w:pPr>
        <w:pStyle w:val="ListParagraph"/>
        <w:numPr>
          <w:ilvl w:val="0"/>
          <w:numId w:val="1"/>
        </w:numPr>
        <w:spacing w:after="80"/>
      </w:pPr>
      <w:r>
        <w:rPr>
          <w:rFonts w:ascii="Calibri" w:cs="Calibri" w:eastAsia="Calibri" w:hAnsi="Calibri"/>
          <w:b w:val="false"/>
          <w:bCs w:val="false"/>
          <w:color w:val="2C2C2C"/>
          <w:sz w:val="20"/>
          <w:szCs w:val="20"/>
        </w:rPr>
        <w:t xml:space="preserve">Retour : formulaire anonyme envoyé 48h après chaque session (5 questions, échelle Likert)</w:t>
      </w:r>
    </w:p>
    <w:p>
      <w:pPr>
        <w:pStyle w:val="ListParagraph"/>
        <w:numPr>
          <w:ilvl w:val="0"/>
          <w:numId w:val="1"/>
        </w:numPr>
        <w:spacing w:after="80"/>
      </w:pPr>
      <w:r>
        <w:rPr>
          <w:rFonts w:ascii="Calibri" w:cs="Calibri" w:eastAsia="Calibri" w:hAnsi="Calibri"/>
          <w:b w:val="false"/>
          <w:bCs w:val="false"/>
          <w:color w:val="2C2C2C"/>
          <w:sz w:val="20"/>
          <w:szCs w:val="20"/>
        </w:rPr>
        <w:t xml:space="preserve">Certification : badge numérique interne Spotify délivré à l'issue de la Session 3</w:t>
      </w:r>
    </w:p>
    <w:p>
      <w:pPr>
        <w:spacing w:after="160"/>
      </w:pPr>
    </w:p>
    <w:p>
      <w:pPr>
        <w:pStyle w:val="Heading1"/>
        <w:pBdr>
          <w:bottom w:val="single" w:color="1DB954" w:sz="4" w:space="4"/>
        </w:pBdr>
        <w:spacing w:after="120" w:before="280"/>
      </w:pPr>
      <w:r>
        <w:rPr>
          <w:rFonts w:ascii="Calibri" w:cs="Calibri" w:eastAsia="Calibri" w:hAnsi="Calibri"/>
          <w:b/>
          <w:bCs/>
          <w:color w:val="1A1A2E"/>
          <w:sz w:val="26"/>
          <w:szCs w:val="26"/>
        </w:rPr>
        <w:t xml:space="preserve">8. Prochaines étapes immédiates</w:t>
      </w:r>
    </w:p>
    <w:p>
      <w:pPr>
        <w:spacing w:after="100"/>
        <w:jc w:val="both"/>
      </w:pPr>
      <w:r>
        <w:rPr>
          <w:rFonts w:ascii="Calibri" w:cs="Calibri" w:eastAsia="Calibri" w:hAnsi="Calibri"/>
          <w:b w:val="false"/>
          <w:bCs w:val="false"/>
          <w:i w:val="false"/>
          <w:iCs w:val="false"/>
          <w:color w:val="2C2C2C"/>
          <w:sz w:val="20"/>
          <w:szCs w:val="20"/>
        </w:rPr>
        <w:t xml:space="preserve">Pour lancer le programme dès la validation de ce plan par le COMEX, 5 actions immédiates sont requises dans les 15 prochains jours :</w:t>
      </w:r>
    </w:p>
    <w:p>
      <w:pPr>
        <w:spacing w:after="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Priorité</w:t>
            </w:r>
          </w:p>
        </w:tc>
        <w:tc>
          <w:tcPr>
            <w:tcW w:type="dxa" w:w="3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Action immédiate</w:t>
            </w:r>
          </w:p>
        </w:tc>
        <w:tc>
          <w:tcPr>
            <w:tcW w:type="dxa" w:w="1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Responsable</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Délai</w:t>
            </w:r>
          </w:p>
        </w:tc>
        <w:tc>
          <w:tcPr>
            <w:tcW w:type="dxa" w:w="27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Prérequis</w:t>
            </w:r>
          </w:p>
        </w:tc>
      </w:tr>
      <w:tr>
        <w:tc>
          <w:tcPr>
            <w:tcW w:type="dxa" w:w="600"/>
            <w:tcBorders>
              <w:top w:val="single" w:color="D0D0D0" w:sz="1"/>
              <w:left w:val="single" w:color="D0D0D0" w:sz="1"/>
              <w:bottom w:val="single" w:color="D0D0D0" w:sz="1"/>
              <w:right w:val="single" w:color="D0D0D0" w:sz="1"/>
            </w:tcBorders>
            <w:shd w:fill="1DB95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P1</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Valider la nomination du CDO (candidats présélectionnés)</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6C2DC7"/>
                <w:sz w:val="18"/>
                <w:szCs w:val="18"/>
              </w:rPr>
              <w:t xml:space="preserve">COMEX</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C0392B"/>
                <w:sz w:val="18"/>
                <w:szCs w:val="18"/>
              </w:rPr>
              <w:t xml:space="preserve">01/06/2026</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Approbation COMEX</w:t>
            </w:r>
          </w:p>
        </w:tc>
      </w:tr>
      <w:tr>
        <w:tc>
          <w:tcPr>
            <w:tcW w:type="dxa" w:w="600"/>
            <w:tcBorders>
              <w:top w:val="single" w:color="D0D0D0" w:sz="1"/>
              <w:left w:val="single" w:color="D0D0D0" w:sz="1"/>
              <w:bottom w:val="single" w:color="D0D0D0" w:sz="1"/>
              <w:right w:val="single" w:color="D0D0D0" w:sz="1"/>
            </w:tcBorders>
            <w:shd w:fill="1DB95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P2</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Lancer la procédure de commande des licences Alation, Ataccama ONE, OneTrust</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6C2DC7"/>
                <w:sz w:val="18"/>
                <w:szCs w:val="18"/>
              </w:rPr>
              <w:t xml:space="preserve">CDO désigné</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C0392B"/>
                <w:sz w:val="18"/>
                <w:szCs w:val="18"/>
              </w:rPr>
              <w:t xml:space="preserve">05/06/2026</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Budget Phase 1 approuvé</w:t>
            </w:r>
          </w:p>
        </w:tc>
      </w:tr>
      <w:tr>
        <w:tc>
          <w:tcPr>
            <w:tcW w:type="dxa" w:w="600"/>
            <w:tcBorders>
              <w:top w:val="single" w:color="D0D0D0" w:sz="1"/>
              <w:left w:val="single" w:color="D0D0D0" w:sz="1"/>
              <w:bottom w:val="single" w:color="D0D0D0" w:sz="1"/>
              <w:right w:val="single" w:color="D0D0D0" w:sz="1"/>
            </w:tcBorders>
            <w:shd w:fill="1DB95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P3</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Constituer le Comité de Gouvernance (CDO + DPO + CISO + 3 Data Owners)</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6C2DC7"/>
                <w:sz w:val="18"/>
                <w:szCs w:val="18"/>
              </w:rPr>
              <w:t xml:space="preserve">CDO</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C0392B"/>
                <w:sz w:val="18"/>
                <w:szCs w:val="18"/>
              </w:rPr>
              <w:t xml:space="preserve">09/06/2026</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CDO nommé</w:t>
            </w:r>
          </w:p>
        </w:tc>
      </w:tr>
      <w:tr>
        <w:tc>
          <w:tcPr>
            <w:tcW w:type="dxa" w:w="600"/>
            <w:tcBorders>
              <w:top w:val="single" w:color="D0D0D0" w:sz="1"/>
              <w:left w:val="single" w:color="D0D0D0" w:sz="1"/>
              <w:bottom w:val="single" w:color="D0D0D0" w:sz="1"/>
              <w:right w:val="single" w:color="D0D0D0" w:sz="1"/>
            </w:tcBorders>
            <w:shd w:fill="1DB95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P4</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Créer la page Notion #data-governance et le canal Slack #pilote-gouvernance-user-engagement</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6C2DC7"/>
                <w:sz w:val="18"/>
                <w:szCs w:val="18"/>
              </w:rPr>
              <w:t xml:space="preserve">John Lemon</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C0392B"/>
                <w:sz w:val="18"/>
                <w:szCs w:val="18"/>
              </w:rPr>
              <w:t xml:space="preserve">02/06/2026</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Accès Notion et Slack</w:t>
            </w:r>
          </w:p>
        </w:tc>
      </w:tr>
      <w:tr>
        <w:tc>
          <w:tcPr>
            <w:tcW w:type="dxa" w:w="600"/>
            <w:tcBorders>
              <w:top w:val="single" w:color="D0D0D0" w:sz="1"/>
              <w:left w:val="single" w:color="D0D0D0" w:sz="1"/>
              <w:bottom w:val="single" w:color="D0D0D0" w:sz="1"/>
              <w:right w:val="single" w:color="D0D0D0" w:sz="1"/>
            </w:tcBorders>
            <w:shd w:fill="1DB95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P5</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2C2C2C"/>
                <w:sz w:val="18"/>
                <w:szCs w:val="18"/>
              </w:rPr>
              <w:t xml:space="preserve">Planifier le kick-off pilote (J1 — 02/06/2026) et envoyer les invitations à l'équipe</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6C2DC7"/>
                <w:sz w:val="18"/>
                <w:szCs w:val="18"/>
              </w:rPr>
              <w:t xml:space="preserve">CDO</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C0392B"/>
                <w:sz w:val="18"/>
                <w:szCs w:val="18"/>
              </w:rPr>
              <w:t xml:space="preserve">31/05/2026</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C2C2C"/>
                <w:sz w:val="15"/>
                <w:szCs w:val="15"/>
              </w:rPr>
              <w:t xml:space="preserve">Équipe pilote confirmée</w:t>
            </w:r>
          </w:p>
        </w:tc>
      </w:tr>
    </w:tbl>
    <w:p>
      <w:pPr>
        <w:spacing w:after="160"/>
      </w:pPr>
    </w:p>
    <w:p>
      <w:pPr>
        <w:spacing w:after="100"/>
        <w:jc w:val="center"/>
      </w:pPr>
      <w:r>
        <w:rPr>
          <w:rFonts w:ascii="Calibri" w:cs="Calibri" w:eastAsia="Calibri" w:hAnsi="Calibri"/>
          <w:b w:val="false"/>
          <w:bCs w:val="false"/>
          <w:i/>
          <w:iCs/>
          <w:color w:val="888888"/>
          <w:sz w:val="20"/>
          <w:szCs w:val="20"/>
        </w:rPr>
        <w:t xml:space="preserve">Plan rédigé dans le cadre de la certification AIA — Bloc 1 Gouvernance des Données — Kevin Rochet — Jedha Bootcamp — Mai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jc w:val="center"/>
    </w:pPr>
    <w:r>
      <w:rPr>
        <w:rFonts w:ascii="Calibri" w:cs="Calibri" w:eastAsia="Calibri" w:hAnsi="Calibri"/>
        <w:color w:val="888888"/>
        <w:sz w:val="16"/>
        <w:szCs w:val="16"/>
      </w:rPr>
      <w:t xml:space="preserve">Kevin Rochet — Jedha Bootcamp — Certification AIA — Mai 2026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B954" w:sz="4" w:space="4"/>
      </w:pBdr>
      <w:jc w:val="right"/>
    </w:pPr>
    <w:r>
      <w:rPr>
        <w:rFonts w:ascii="Calibri" w:cs="Calibri" w:eastAsia="Calibri" w:hAnsi="Calibri"/>
        <w:color w:val="888888"/>
        <w:sz w:val="16"/>
        <w:szCs w:val="16"/>
      </w:rPr>
      <w:t xml:space="preserve">Spotify — Plan d'Implémentation Gouvernance des Données v2 — Certification AIA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1DB954"/>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A1A2E"/>
      <w:sz w:val="26"/>
      <w:szCs w:val="26"/>
    </w:rPr>
  </w:style>
  <w:style w:type="paragraph" w:styleId="Heading2">
    <w:name w:val="Heading 2"/>
    <w:basedOn w:val="Normal"/>
    <w:next w:val="Normal"/>
    <w:qFormat/>
    <w:pPr>
      <w:spacing w:after="80" w:before="160"/>
      <w:outlineLvl w:val="1"/>
    </w:pPr>
    <w:rPr>
      <w:rFonts w:ascii="Calibri" w:cs="Calibri" w:eastAsia="Calibri" w:hAnsi="Calibri"/>
      <w:b/>
      <w:bCs/>
      <w:color w:val="6C2DC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2026-05-22T19:39:38.019Z</dcterms:created>
  <dcterms:modified xsi:type="dcterms:W3CDTF">2026-05-22T19:39:38.020Z</dcterms:modified>
</cp:coreProperties>
</file>

<file path=docProps/custom.xml><?xml version="1.0" encoding="utf-8"?>
<Properties xmlns="http://schemas.openxmlformats.org/officeDocument/2006/custom-properties" xmlns:vt="http://schemas.openxmlformats.org/officeDocument/2006/docPropsVTypes"/>
</file>