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DB954"/>
          <w:sz w:val="56"/>
          <w:szCs w:val="56"/>
        </w:rPr>
        <w:t xml:space="preserve">SPOTIFY</w:t>
      </w:r>
    </w:p>
    <w:p>
      <w:pPr>
        <w:spacing w:after="60" w:before="0"/>
      </w:pPr>
      <w:r>
        <w:rPr>
          <w:rFonts w:ascii="Arial" w:cs="Arial" w:eastAsia="Arial" w:hAnsi="Arial"/>
          <w:b/>
          <w:bCs/>
          <w:color w:val="1A1A2E"/>
          <w:sz w:val="40"/>
          <w:szCs w:val="40"/>
        </w:rPr>
        <w:t xml:space="preserve">Politique de Gouvernance des Données</w:t>
      </w:r>
    </w:p>
    <w:p>
      <w:pPr>
        <w:spacing w:after="400" w:before="0"/>
      </w:pPr>
      <w:r>
        <w:rPr>
          <w:rFonts w:ascii="Arial" w:cs="Arial" w:eastAsia="Arial" w:hAnsi="Arial"/>
          <w:color w:val="666666"/>
          <w:sz w:val="22"/>
          <w:szCs w:val="22"/>
        </w:rPr>
        <w:t xml:space="preserve">Version 2.0 | Mai 2026 | Classification : Confidentiel</w:t>
      </w:r>
    </w:p>
    <w:p>
      <w:pPr>
        <w:pBdr>
          <w:bottom w:val="single" w:color="1DB954" w:sz="6" w:space="1"/>
        </w:pBdr>
        <w:spacing w:after="160" w:before="160"/>
      </w:pPr>
    </w:p>
    <w:p>
      <w:pPr>
        <w:spacing w:after="100" w:before="0"/>
      </w:pPr>
    </w:p>
    <w:p>
      <w:pPr>
        <w:spacing w:after="60" w:before="80"/>
      </w:pPr>
      <w:r>
        <w:rPr>
          <w:rFonts w:ascii="Arial" w:cs="Arial" w:eastAsia="Arial" w:hAnsi="Arial"/>
          <w:b/>
          <w:bCs/>
          <w:sz w:val="22"/>
          <w:szCs w:val="22"/>
        </w:rPr>
        <w:t xml:space="preserve">Propriétaire : </w:t>
      </w:r>
      <w:r>
        <w:rPr>
          <w:rFonts w:ascii="Arial" w:cs="Arial" w:eastAsia="Arial" w:hAnsi="Arial"/>
          <w:sz w:val="22"/>
          <w:szCs w:val="22"/>
        </w:rPr>
        <w:t xml:space="preserve">Chief Data Officer, Spotify AB</w:t>
      </w:r>
    </w:p>
    <w:p>
      <w:pPr>
        <w:spacing w:after="60" w:before="40"/>
      </w:pPr>
      <w:r>
        <w:rPr>
          <w:rFonts w:ascii="Arial" w:cs="Arial" w:eastAsia="Arial" w:hAnsi="Arial"/>
          <w:b/>
          <w:bCs/>
          <w:sz w:val="22"/>
          <w:szCs w:val="22"/>
        </w:rPr>
        <w:t xml:space="preserve">Approbation : </w:t>
      </w:r>
      <w:r>
        <w:rPr>
          <w:rFonts w:ascii="Arial" w:cs="Arial" w:eastAsia="Arial" w:hAnsi="Arial"/>
          <w:sz w:val="22"/>
          <w:szCs w:val="22"/>
        </w:rPr>
        <w:t xml:space="preserve">COMEX Spotify — Réunion du 15 mai 2026</w:t>
      </w:r>
    </w:p>
    <w:p>
      <w:pPr>
        <w:spacing w:after="60" w:before="40"/>
      </w:pPr>
      <w:r>
        <w:rPr>
          <w:rFonts w:ascii="Arial" w:cs="Arial" w:eastAsia="Arial" w:hAnsi="Arial"/>
          <w:b/>
          <w:bCs/>
          <w:sz w:val="22"/>
          <w:szCs w:val="22"/>
        </w:rPr>
        <w:t xml:space="preserve">Prochaine révision : </w:t>
      </w:r>
      <w:r>
        <w:rPr>
          <w:rFonts w:ascii="Arial" w:cs="Arial" w:eastAsia="Arial" w:hAnsi="Arial"/>
          <w:sz w:val="22"/>
          <w:szCs w:val="22"/>
        </w:rPr>
        <w:t xml:space="preserve">Novembre 2026 (révision semestrielle)</w:t>
      </w:r>
    </w:p>
    <w:p>
      <w:pPr>
        <w:spacing w:after="60" w:before="40"/>
      </w:pPr>
      <w:r>
        <w:rPr>
          <w:rFonts w:ascii="Arial" w:cs="Arial" w:eastAsia="Arial" w:hAnsi="Arial"/>
          <w:b/>
          <w:bCs/>
          <w:sz w:val="22"/>
          <w:szCs w:val="22"/>
        </w:rPr>
        <w:t xml:space="preserve">Périmètre : </w:t>
      </w:r>
      <w:r>
        <w:rPr>
          <w:rFonts w:ascii="Arial" w:cs="Arial" w:eastAsia="Arial" w:hAnsi="Arial"/>
          <w:sz w:val="22"/>
          <w:szCs w:val="22"/>
        </w:rPr>
        <w:t xml:space="preserve">Spotify AB et toutes ses filiales — 184 marchés</w:t>
      </w:r>
    </w:p>
    <w:p>
      <w:pPr>
        <w:spacing w:after="200" w:before="0"/>
      </w:pPr>
    </w:p>
    <w:p>
      <w:pPr>
        <w:pBdr>
          <w:bottom w:val="single" w:color="1DB954" w:sz="6" w:space="1"/>
        </w:pBdr>
        <w:spacing w:after="160" w:before="160"/>
      </w:pPr>
    </w:p>
    <w:p>
      <w:pPr>
        <w:pStyle w:val="Heading1"/>
        <w:spacing w:after="140" w:before="300"/>
      </w:pPr>
      <w:r>
        <w:rPr>
          <w:rFonts w:ascii="Arial" w:cs="Arial" w:eastAsia="Arial" w:hAnsi="Arial"/>
          <w:b/>
          <w:bCs/>
          <w:color w:val="1A1A2E"/>
          <w:sz w:val="36"/>
          <w:szCs w:val="36"/>
        </w:rPr>
        <w:t xml:space="preserve">Préambule</w:t>
      </w:r>
    </w:p>
    <w:p>
      <w:pPr>
        <w:spacing w:after="80" w:before="60"/>
      </w:pPr>
      <w:r>
        <w:rPr>
          <w:rFonts w:ascii="Arial" w:cs="Arial" w:eastAsia="Arial" w:hAnsi="Arial"/>
          <w:color w:val="333333"/>
          <w:sz w:val="22"/>
          <w:szCs w:val="22"/>
        </w:rPr>
        <w:t xml:space="preserve">Spotify est la plateforme de streaming musical la plus utilisée au monde, avec 602 millions d'utilisateurs actifs mensuels dans 184 pays. Notre mission — donner à chaque artiste la possibilité de vivre de son art et à chaque auditeur de profiter de la musique qu'il aime — repose fondamentalement sur la confiance que nos utilisateurs, artistes et partenaires nous accordent dans la gestion de leurs données.</w:t>
      </w:r>
    </w:p>
    <w:p>
      <w:pPr>
        <w:spacing w:after="100" w:before="0"/>
      </w:pPr>
    </w:p>
    <w:p>
      <w:pPr>
        <w:spacing w:after="80" w:before="60"/>
      </w:pPr>
      <w:r>
        <w:rPr>
          <w:rFonts w:ascii="Arial" w:cs="Arial" w:eastAsia="Arial" w:hAnsi="Arial"/>
          <w:color w:val="333333"/>
          <w:sz w:val="22"/>
          <w:szCs w:val="22"/>
        </w:rPr>
        <w:t xml:space="preserve">Les données constituent le coeur de notre proposition de valeur : elles alimentent nos algorithmes de recommandation (Discover Weekly, Spotify Wrapped), permettent à des millions d'artistes de comprendre leur audience via Spotify for Artists, et génèrent les royalties de l'ensemble de l'industrie musicale mondiale. Chaque jour, 500 milliards d'événements de streaming transitent par notre infrastructure Kafka, faisant de Spotify l'une des entreprises les plus data-intensives au monde.</w:t>
      </w:r>
    </w:p>
    <w:p>
      <w:pPr>
        <w:spacing w:after="100" w:before="0"/>
      </w:pPr>
    </w:p>
    <w:p>
      <w:pPr>
        <w:spacing w:after="80" w:before="60"/>
      </w:pPr>
      <w:r>
        <w:rPr>
          <w:rFonts w:ascii="Arial" w:cs="Arial" w:eastAsia="Arial" w:hAnsi="Arial"/>
          <w:color w:val="333333"/>
          <w:sz w:val="22"/>
          <w:szCs w:val="22"/>
        </w:rPr>
        <w:t xml:space="preserve">Ce contexte exceptionnel crée des responsabilités tout aussi exceptionnelles. La décision de l'autorité suédoise de protection des données (IMY) en décembre 2023, qui a condamné Spotify à une amende de 5,4 millions d'euros pour manque de transparence sur les finalités de traitement des données personnelles, est un signal d'alarme que nous prenons très au sérieux. Elle confirme que nos pratiques actuelles de gouvernance, bien qu'existantes, ne sont pas à la hauteur des attentes réglementaires et de la confiance de nos utilisateurs.</w:t>
      </w:r>
    </w:p>
    <w:p>
      <w:pPr>
        <w:spacing w:after="100" w:before="0"/>
      </w:pPr>
    </w:p>
    <w:p>
      <w:pPr>
        <w:spacing w:after="80" w:before="60"/>
      </w:pPr>
      <w:r>
        <w:rPr>
          <w:rFonts w:ascii="Arial" w:cs="Arial" w:eastAsia="Arial" w:hAnsi="Arial"/>
          <w:color w:val="333333"/>
          <w:sz w:val="22"/>
          <w:szCs w:val="22"/>
        </w:rPr>
        <w:t xml:space="preserve">C'est pourquoi le COMEX de Spotify a approuvé le 15 mai 2026 la mise en place d'un programme structuré de gouvernance des données, dont la présente Politique constitue le document fondateur. Ce programme vise à transformer notre approche : passer d'une gestion réactive des données à une gouvernance proactive, transparente et mesurable, alignée sur le DMBOK v3 et les meilleures pratiques de l'industrie.</w:t>
      </w:r>
    </w:p>
    <w:p>
      <w:pPr>
        <w:spacing w:after="100" w:before="0"/>
      </w:pPr>
    </w:p>
    <w:p>
      <w:pPr>
        <w:spacing w:after="80" w:before="60"/>
      </w:pPr>
      <w:r>
        <w:rPr>
          <w:rFonts w:ascii="Arial" w:cs="Arial" w:eastAsia="Arial" w:hAnsi="Arial"/>
          <w:color w:val="333333"/>
          <w:sz w:val="22"/>
          <w:szCs w:val="22"/>
        </w:rPr>
        <w:t xml:space="preserve">La présente politique s'applique à l'ensemble des collaborateurs, prestataires, partenaires et développeurs tiers accédant aux systèmes et données de Spotify dans tous ses marchés opérationnels.</w:t>
      </w:r>
    </w:p>
    <w:p>
      <w:pPr>
        <w:spacing w:after="100" w:before="0"/>
      </w:pPr>
    </w:p>
    <w:p>
      <w:pPr>
        <w:pBdr>
          <w:bottom w:val="single" w:color="1DB954" w:sz="6" w:space="1"/>
        </w:pBdr>
        <w:spacing w:after="160" w:before="160"/>
      </w:pPr>
    </w:p>
    <w:p>
      <w:pPr>
        <w:pStyle w:val="Heading1"/>
        <w:spacing w:after="140" w:before="300"/>
      </w:pPr>
      <w:r>
        <w:rPr>
          <w:rFonts w:ascii="Arial" w:cs="Arial" w:eastAsia="Arial" w:hAnsi="Arial"/>
          <w:b/>
          <w:bCs/>
          <w:color w:val="1A1A2E"/>
          <w:sz w:val="36"/>
          <w:szCs w:val="36"/>
        </w:rPr>
        <w:t xml:space="preserve">1. Objet et périmètre</w:t>
      </w:r>
    </w:p>
    <w:p>
      <w:pPr>
        <w:spacing w:after="80" w:before="60"/>
      </w:pPr>
      <w:r>
        <w:rPr>
          <w:rFonts w:ascii="Arial" w:cs="Arial" w:eastAsia="Arial" w:hAnsi="Arial"/>
          <w:color w:val="333333"/>
          <w:sz w:val="22"/>
          <w:szCs w:val="22"/>
        </w:rPr>
        <w:t xml:space="preserve">La présente politique définit les règles, principes et responsabilités encadrant la gestion des données au sein de Spotify AB et de toutes ses filiales. Elle couvre l'ensemble du cycle de vie des données (POSMAD : Plan, Obtain, Store &amp; Share, Maintain, Apply, Dispose) et s'articule autour de quatre catégories de données principales :</w:t>
      </w:r>
    </w:p>
    <w:p>
      <w:pPr>
        <w:pStyle w:val="ListParagraph"/>
        <w:numPr>
          <w:ilvl w:val="0"/>
          <w:numId w:val="2"/>
        </w:numPr>
        <w:spacing w:after="40" w:before="40"/>
      </w:pPr>
      <w:r>
        <w:rPr>
          <w:rFonts w:ascii="Arial" w:cs="Arial" w:eastAsia="Arial" w:hAnsi="Arial"/>
          <w:color w:val="333333"/>
          <w:sz w:val="21"/>
          <w:szCs w:val="21"/>
        </w:rPr>
        <w:t xml:space="preserve">Données personnelles utilisateurs (PII) : profils, historiques d'écoute, localisations, préférences, données de paiement</w:t>
      </w:r>
    </w:p>
    <w:p>
      <w:pPr>
        <w:pStyle w:val="ListParagraph"/>
        <w:numPr>
          <w:ilvl w:val="0"/>
          <w:numId w:val="2"/>
        </w:numPr>
        <w:spacing w:after="40" w:before="40"/>
      </w:pPr>
      <w:r>
        <w:rPr>
          <w:rFonts w:ascii="Arial" w:cs="Arial" w:eastAsia="Arial" w:hAnsi="Arial"/>
          <w:color w:val="333333"/>
          <w:sz w:val="21"/>
          <w:szCs w:val="21"/>
        </w:rPr>
        <w:t xml:space="preserve">Métadonnées musicales : 100+ millions de titres, droits ISRC, informations artistes, labels et distributeurs</w:t>
      </w:r>
    </w:p>
    <w:p>
      <w:pPr>
        <w:pStyle w:val="ListParagraph"/>
        <w:numPr>
          <w:ilvl w:val="0"/>
          <w:numId w:val="2"/>
        </w:numPr>
        <w:spacing w:after="40" w:before="40"/>
      </w:pPr>
      <w:r>
        <w:rPr>
          <w:rFonts w:ascii="Arial" w:cs="Arial" w:eastAsia="Arial" w:hAnsi="Arial"/>
          <w:color w:val="333333"/>
          <w:sz w:val="21"/>
          <w:szCs w:val="21"/>
        </w:rPr>
        <w:t xml:space="preserve">Données comportementales : 500 milliards d'événements de streaming ingérés quotidiennement via Kafka</w:t>
      </w:r>
    </w:p>
    <w:p>
      <w:pPr>
        <w:pStyle w:val="ListParagraph"/>
        <w:numPr>
          <w:ilvl w:val="0"/>
          <w:numId w:val="2"/>
        </w:numPr>
        <w:spacing w:after="40" w:before="40"/>
      </w:pPr>
      <w:r>
        <w:rPr>
          <w:rFonts w:ascii="Arial" w:cs="Arial" w:eastAsia="Arial" w:hAnsi="Arial"/>
          <w:color w:val="333333"/>
          <w:sz w:val="21"/>
          <w:szCs w:val="21"/>
        </w:rPr>
        <w:t xml:space="preserve">Données financières : transactions, royalties, données de paiement soumises à PCI-DSS dans 184 marchés</w:t>
      </w:r>
    </w:p>
    <w:p>
      <w:pPr>
        <w:spacing w:after="100" w:before="0"/>
      </w:pPr>
    </w:p>
    <w:p>
      <w:pPr>
        <w:spacing w:after="80" w:before="60"/>
      </w:pPr>
      <w:r>
        <w:rPr>
          <w:rFonts w:ascii="Arial" w:cs="Arial" w:eastAsia="Arial" w:hAnsi="Arial"/>
          <w:color w:val="333333"/>
          <w:sz w:val="22"/>
          <w:szCs w:val="22"/>
        </w:rPr>
        <w:t xml:space="preserve">Cette politique s'inscrit dans le cadre du DMBOK v3 (DAMA International) et vise à atteindre le niveau de maturité « Géré » (4/5) d'ici 2027, depuis le niveau actuel « Réactif » (2.3/5) évalué en mai 2026.</w:t>
      </w:r>
    </w:p>
    <w:p>
      <w:pPr>
        <w:spacing w:after="100" w:before="0"/>
      </w:pPr>
    </w:p>
    <w:p>
      <w:pPr>
        <w:pBdr>
          <w:bottom w:val="single" w:color="1DB954" w:sz="6" w:space="1"/>
        </w:pBdr>
        <w:spacing w:after="160" w:before="160"/>
      </w:pPr>
    </w:p>
    <w:p>
      <w:pPr>
        <w:pStyle w:val="Heading1"/>
        <w:spacing w:after="140" w:before="300"/>
      </w:pPr>
      <w:r>
        <w:rPr>
          <w:rFonts w:ascii="Arial" w:cs="Arial" w:eastAsia="Arial" w:hAnsi="Arial"/>
          <w:b/>
          <w:bCs/>
          <w:color w:val="1A1A2E"/>
          <w:sz w:val="36"/>
          <w:szCs w:val="36"/>
        </w:rPr>
        <w:t xml:space="preserve">2. Principes directeurs de gouvernance</w:t>
      </w:r>
    </w:p>
    <w:p>
      <w:pPr>
        <w:spacing w:after="80" w:before="60"/>
      </w:pPr>
      <w:r>
        <w:rPr>
          <w:rFonts w:ascii="Arial" w:cs="Arial" w:eastAsia="Arial" w:hAnsi="Arial"/>
          <w:color w:val="333333"/>
          <w:sz w:val="22"/>
          <w:szCs w:val="22"/>
        </w:rPr>
        <w:t xml:space="preserve">Les neuf principes ci-dessous constituent le socle non négociable du cadre de gouvernance de Spotify. Tout projet data doit démontrer son alignement avec ces principes avant validation par le Data Governance Committee.</w:t>
      </w:r>
    </w:p>
    <w:p>
      <w:pPr>
        <w:spacing w:after="100" w:before="0"/>
      </w:pPr>
    </w:p>
    <w:p>
      <w:pPr>
        <w:spacing w:after="60" w:before="160"/>
      </w:pPr>
      <w:r>
        <w:rPr>
          <w:rFonts w:ascii="Arial" w:cs="Arial" w:eastAsia="Arial" w:hAnsi="Arial"/>
          <w:b/>
          <w:bCs/>
          <w:color w:val="1DB954"/>
          <w:sz w:val="24"/>
          <w:szCs w:val="24"/>
        </w:rPr>
        <w:t xml:space="preserve">1. </w:t>
      </w:r>
      <w:r>
        <w:rPr>
          <w:rFonts w:ascii="Arial" w:cs="Arial" w:eastAsia="Arial" w:hAnsi="Arial"/>
          <w:b/>
          <w:bCs/>
          <w:color w:val="1A1A2E"/>
          <w:sz w:val="24"/>
          <w:szCs w:val="24"/>
        </w:rPr>
        <w:t xml:space="preserve">Responsabilité (Accountability)</w:t>
      </w:r>
    </w:p>
    <w:p>
      <w:pPr>
        <w:spacing w:after="60" w:before="40"/>
      </w:pPr>
      <w:r>
        <w:rPr>
          <w:rFonts w:ascii="Arial" w:cs="Arial" w:eastAsia="Arial" w:hAnsi="Arial"/>
          <w:color w:val="444444"/>
          <w:sz w:val="21"/>
          <w:szCs w:val="21"/>
        </w:rPr>
        <w:t xml:space="preserve">Chaque donnée a un propriétaire identifié (Data Owner). Les Data Stewards garantissent l'application quotidienne des règles de gouvernance. Aucune donnée ne peut exister sans responsable désigné dans le Data Catalog.</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Documenter les Data Owners pour 100% des datasets critiques dans Alation d'ici T3 2026.</w:t>
      </w:r>
    </w:p>
    <w:p>
      <w:pPr>
        <w:spacing w:after="60" w:before="160"/>
      </w:pPr>
      <w:r>
        <w:rPr>
          <w:rFonts w:ascii="Arial" w:cs="Arial" w:eastAsia="Arial" w:hAnsi="Arial"/>
          <w:b/>
          <w:bCs/>
          <w:color w:val="1DB954"/>
          <w:sz w:val="24"/>
          <w:szCs w:val="24"/>
        </w:rPr>
        <w:t xml:space="preserve">2. </w:t>
      </w:r>
      <w:r>
        <w:rPr>
          <w:rFonts w:ascii="Arial" w:cs="Arial" w:eastAsia="Arial" w:hAnsi="Arial"/>
          <w:b/>
          <w:bCs/>
          <w:color w:val="1A1A2E"/>
          <w:sz w:val="24"/>
          <w:szCs w:val="24"/>
        </w:rPr>
        <w:t xml:space="preserve">Transparence</w:t>
      </w:r>
    </w:p>
    <w:p>
      <w:pPr>
        <w:spacing w:after="60" w:before="40"/>
      </w:pPr>
      <w:r>
        <w:rPr>
          <w:rFonts w:ascii="Arial" w:cs="Arial" w:eastAsia="Arial" w:hAnsi="Arial"/>
          <w:color w:val="444444"/>
          <w:sz w:val="21"/>
          <w:szCs w:val="21"/>
        </w:rPr>
        <w:t xml:space="preserve">Tout traitement de données personnelles est documenté dans le registre des activités de traitement (ROPA). Les utilisateurs disposent d'une notice de confidentialité claire et accessible. Les finalités de traitement sont explicitement déclarées — en réponse directe à la sanction IMY 2023.</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Mettre à jour le ROPA trimestriellement et publier un résumé des finalités de traitement dans l'application Spotify.</w:t>
      </w:r>
    </w:p>
    <w:p>
      <w:pPr>
        <w:spacing w:after="60" w:before="160"/>
      </w:pPr>
      <w:r>
        <w:rPr>
          <w:rFonts w:ascii="Arial" w:cs="Arial" w:eastAsia="Arial" w:hAnsi="Arial"/>
          <w:b/>
          <w:bCs/>
          <w:color w:val="1DB954"/>
          <w:sz w:val="24"/>
          <w:szCs w:val="24"/>
        </w:rPr>
        <w:t xml:space="preserve">3. </w:t>
      </w:r>
      <w:r>
        <w:rPr>
          <w:rFonts w:ascii="Arial" w:cs="Arial" w:eastAsia="Arial" w:hAnsi="Arial"/>
          <w:b/>
          <w:bCs/>
          <w:color w:val="1A1A2E"/>
          <w:sz w:val="24"/>
          <w:szCs w:val="24"/>
        </w:rPr>
        <w:t xml:space="preserve">Sécurité des données</w:t>
      </w:r>
    </w:p>
    <w:p>
      <w:pPr>
        <w:spacing w:after="60" w:before="40"/>
      </w:pPr>
      <w:r>
        <w:rPr>
          <w:rFonts w:ascii="Arial" w:cs="Arial" w:eastAsia="Arial" w:hAnsi="Arial"/>
          <w:color w:val="444444"/>
          <w:sz w:val="21"/>
          <w:szCs w:val="21"/>
        </w:rPr>
        <w:t xml:space="preserve">Les données personnelles et financières sont chiffrées en transit (TLS 1.3) et au repos (AES-256). L'accès obéit au principe du moindre privilège. Tout incident de sécurité est tracé et notifié aux autorités compétentes dans les délais réglementaires.</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Déployer Splunk comme SIEM centralisé et rendre le MFA obligatoire pour tous les accès aux systèmes sensibles avant T4 2026.</w:t>
      </w:r>
    </w:p>
    <w:p>
      <w:pPr>
        <w:spacing w:after="60" w:before="160"/>
      </w:pPr>
      <w:r>
        <w:rPr>
          <w:rFonts w:ascii="Arial" w:cs="Arial" w:eastAsia="Arial" w:hAnsi="Arial"/>
          <w:b/>
          <w:bCs/>
          <w:color w:val="1DB954"/>
          <w:sz w:val="24"/>
          <w:szCs w:val="24"/>
        </w:rPr>
        <w:t xml:space="preserve">4. </w:t>
      </w:r>
      <w:r>
        <w:rPr>
          <w:rFonts w:ascii="Arial" w:cs="Arial" w:eastAsia="Arial" w:hAnsi="Arial"/>
          <w:b/>
          <w:bCs/>
          <w:color w:val="1A1A2E"/>
          <w:sz w:val="24"/>
          <w:szCs w:val="24"/>
        </w:rPr>
        <w:t xml:space="preserve">Qualité des données</w:t>
      </w:r>
    </w:p>
    <w:p>
      <w:pPr>
        <w:spacing w:after="60" w:before="40"/>
      </w:pPr>
      <w:r>
        <w:rPr>
          <w:rFonts w:ascii="Arial" w:cs="Arial" w:eastAsia="Arial" w:hAnsi="Arial"/>
          <w:color w:val="444444"/>
          <w:sz w:val="21"/>
          <w:szCs w:val="21"/>
        </w:rPr>
        <w:t xml:space="preserve">Les données doivent être exactes, complètes, cohérentes et à jour. Des règles de validation automatisées (via Ataccama ONE) sont appliquées à l'ingestion. Un DQ Score est calculé par dataset et visible dans le Data Catalog.</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Mettre en place des data quality gates dans tous les pipelines Kafka. Cible : DQ Score moyen &gt; 80% d'ici T2 2026.</w:t>
      </w:r>
    </w:p>
    <w:p>
      <w:pPr>
        <w:spacing w:after="60" w:before="160"/>
      </w:pPr>
      <w:r>
        <w:rPr>
          <w:rFonts w:ascii="Arial" w:cs="Arial" w:eastAsia="Arial" w:hAnsi="Arial"/>
          <w:b/>
          <w:bCs/>
          <w:color w:val="1DB954"/>
          <w:sz w:val="24"/>
          <w:szCs w:val="24"/>
        </w:rPr>
        <w:t xml:space="preserve">5. </w:t>
      </w:r>
      <w:r>
        <w:rPr>
          <w:rFonts w:ascii="Arial" w:cs="Arial" w:eastAsia="Arial" w:hAnsi="Arial"/>
          <w:b/>
          <w:bCs/>
          <w:color w:val="1A1A2E"/>
          <w:sz w:val="24"/>
          <w:szCs w:val="24"/>
        </w:rPr>
        <w:t xml:space="preserve">Conformité réglementaire</w:t>
      </w:r>
    </w:p>
    <w:p>
      <w:pPr>
        <w:spacing w:after="60" w:before="40"/>
      </w:pPr>
      <w:r>
        <w:rPr>
          <w:rFonts w:ascii="Arial" w:cs="Arial" w:eastAsia="Arial" w:hAnsi="Arial"/>
          <w:color w:val="444444"/>
          <w:sz w:val="21"/>
          <w:szCs w:val="21"/>
        </w:rPr>
        <w:t xml:space="preserve">Spotify respecte le RGPD (UE/EEA), le CCPA (Californie), le PCI-DSS (paiements) et toute réglementation locale applicable. Les nouvelles lois sont intégrées dans un délai maximum de 90 jours après publication.</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Déployer OneTrust pour automatiser les demandes DSR. Réaliser un audit de conformité annuel avec auditeur externe certifié.</w:t>
      </w:r>
    </w:p>
    <w:p>
      <w:pPr>
        <w:spacing w:after="60" w:before="160"/>
      </w:pPr>
      <w:r>
        <w:rPr>
          <w:rFonts w:ascii="Arial" w:cs="Arial" w:eastAsia="Arial" w:hAnsi="Arial"/>
          <w:b/>
          <w:bCs/>
          <w:color w:val="1DB954"/>
          <w:sz w:val="24"/>
          <w:szCs w:val="24"/>
        </w:rPr>
        <w:t xml:space="preserve">6. </w:t>
      </w:r>
      <w:r>
        <w:rPr>
          <w:rFonts w:ascii="Arial" w:cs="Arial" w:eastAsia="Arial" w:hAnsi="Arial"/>
          <w:b/>
          <w:bCs/>
          <w:color w:val="1A1A2E"/>
          <w:sz w:val="24"/>
          <w:szCs w:val="24"/>
        </w:rPr>
        <w:t xml:space="preserve">Minimisation des données</w:t>
      </w:r>
    </w:p>
    <w:p>
      <w:pPr>
        <w:spacing w:after="60" w:before="40"/>
      </w:pPr>
      <w:r>
        <w:rPr>
          <w:rFonts w:ascii="Arial" w:cs="Arial" w:eastAsia="Arial" w:hAnsi="Arial"/>
          <w:color w:val="444444"/>
          <w:sz w:val="21"/>
          <w:szCs w:val="21"/>
        </w:rPr>
        <w:t xml:space="preserve">Seules les données strictement nécessaires à un objectif métier défini sont collectées et conservées. Les durées de conservation sont définies par catégorie et respectées via des processus automatisés de purge.</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Documenter et appliquer des politiques de rétention automatisées pour chaque catégorie de données d'ici T1 2027.</w:t>
      </w:r>
    </w:p>
    <w:p>
      <w:pPr>
        <w:spacing w:after="60" w:before="160"/>
      </w:pPr>
      <w:r>
        <w:rPr>
          <w:rFonts w:ascii="Arial" w:cs="Arial" w:eastAsia="Arial" w:hAnsi="Arial"/>
          <w:b/>
          <w:bCs/>
          <w:color w:val="1DB954"/>
          <w:sz w:val="24"/>
          <w:szCs w:val="24"/>
        </w:rPr>
        <w:t xml:space="preserve">7. </w:t>
      </w:r>
      <w:r>
        <w:rPr>
          <w:rFonts w:ascii="Arial" w:cs="Arial" w:eastAsia="Arial" w:hAnsi="Arial"/>
          <w:b/>
          <w:bCs/>
          <w:color w:val="1A1A2E"/>
          <w:sz w:val="24"/>
          <w:szCs w:val="24"/>
        </w:rPr>
        <w:t xml:space="preserve">Droits des utilisateurs</w:t>
      </w:r>
    </w:p>
    <w:p>
      <w:pPr>
        <w:spacing w:after="60" w:before="40"/>
      </w:pPr>
      <w:r>
        <w:rPr>
          <w:rFonts w:ascii="Arial" w:cs="Arial" w:eastAsia="Arial" w:hAnsi="Arial"/>
          <w:color w:val="444444"/>
          <w:sz w:val="21"/>
          <w:szCs w:val="21"/>
        </w:rPr>
        <w:t xml:space="preserve">Spotify garantit à ses utilisateurs l'exercice effectif de leurs droits : accès, rectification, suppression, portabilité et opposition. Les demandes sont traitées dans un SLA de 30 jours (RGPD) ou 45 jours (CCPA).</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Déployer un portail de gestion des droits utilisateurs self-service dans l'application Spotify. SLA moyen &lt; 10 jours d'ici T2 2026.</w:t>
      </w:r>
    </w:p>
    <w:p>
      <w:pPr>
        <w:spacing w:after="60" w:before="160"/>
      </w:pPr>
      <w:r>
        <w:rPr>
          <w:rFonts w:ascii="Arial" w:cs="Arial" w:eastAsia="Arial" w:hAnsi="Arial"/>
          <w:b/>
          <w:bCs/>
          <w:color w:val="1DB954"/>
          <w:sz w:val="24"/>
          <w:szCs w:val="24"/>
        </w:rPr>
        <w:t xml:space="preserve">8. </w:t>
      </w:r>
      <w:r>
        <w:rPr>
          <w:rFonts w:ascii="Arial" w:cs="Arial" w:eastAsia="Arial" w:hAnsi="Arial"/>
          <w:b/>
          <w:bCs/>
          <w:color w:val="1A1A2E"/>
          <w:sz w:val="24"/>
          <w:szCs w:val="24"/>
        </w:rPr>
        <w:t xml:space="preserve">Amélioration continue</w:t>
      </w:r>
    </w:p>
    <w:p>
      <w:pPr>
        <w:spacing w:after="60" w:before="40"/>
      </w:pPr>
      <w:r>
        <w:rPr>
          <w:rFonts w:ascii="Arial" w:cs="Arial" w:eastAsia="Arial" w:hAnsi="Arial"/>
          <w:color w:val="444444"/>
          <w:sz w:val="21"/>
          <w:szCs w:val="21"/>
        </w:rPr>
        <w:t xml:space="preserve">Le cadre de gouvernance fait l'objet d'une révision semestrielle par le Data Governance Committee. Les incidents, nouvelles réglementations et évolutions technologiques alimentent un processus d'amélioration documenté.</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Planifier les révisions de mai et novembre. Publier un Rapport de Maturité des Données annuel à destination du COMEX.</w:t>
      </w:r>
    </w:p>
    <w:p>
      <w:pPr>
        <w:spacing w:after="60" w:before="160"/>
      </w:pPr>
      <w:r>
        <w:rPr>
          <w:rFonts w:ascii="Arial" w:cs="Arial" w:eastAsia="Arial" w:hAnsi="Arial"/>
          <w:b/>
          <w:bCs/>
          <w:color w:val="1DB954"/>
          <w:sz w:val="24"/>
          <w:szCs w:val="24"/>
        </w:rPr>
        <w:t xml:space="preserve">9. </w:t>
      </w:r>
      <w:r>
        <w:rPr>
          <w:rFonts w:ascii="Arial" w:cs="Arial" w:eastAsia="Arial" w:hAnsi="Arial"/>
          <w:b/>
          <w:bCs/>
          <w:color w:val="1A1A2E"/>
          <w:sz w:val="24"/>
          <w:szCs w:val="24"/>
        </w:rPr>
        <w:t xml:space="preserve">Usage éthique des données et de l'IA</w:t>
      </w:r>
    </w:p>
    <w:p>
      <w:pPr>
        <w:spacing w:after="60" w:before="40"/>
      </w:pPr>
      <w:r>
        <w:rPr>
          <w:rFonts w:ascii="Arial" w:cs="Arial" w:eastAsia="Arial" w:hAnsi="Arial"/>
          <w:color w:val="444444"/>
          <w:sz w:val="21"/>
          <w:szCs w:val="21"/>
        </w:rPr>
        <w:t xml:space="preserve">L'utilisation de l'IA et des algorithmes de recommandation est transparente, conforme à l'EU AI Act et soumise à des audits de biais réguliers. Spotify s'engage à ne jamais monétiser les données personnelles sans consentement explicite.</w:t>
      </w:r>
    </w:p>
    <w:p>
      <w:pPr>
        <w:spacing w:after="80" w:before="0"/>
      </w:pPr>
      <w:r>
        <w:rPr>
          <w:rFonts w:ascii="Arial" w:cs="Arial" w:eastAsia="Arial" w:hAnsi="Arial"/>
          <w:b/>
          <w:bCs/>
          <w:color w:val="1C6EA4"/>
          <w:sz w:val="21"/>
          <w:szCs w:val="21"/>
        </w:rPr>
        <w:t xml:space="preserve">Mise en oeuvre requise : </w:t>
      </w:r>
      <w:r>
        <w:rPr>
          <w:rFonts w:ascii="Arial" w:cs="Arial" w:eastAsia="Arial" w:hAnsi="Arial"/>
          <w:color w:val="444444"/>
          <w:sz w:val="21"/>
          <w:szCs w:val="21"/>
        </w:rPr>
        <w:t xml:space="preserve">Constituer un Comité d'Éthique de l'IA. Réaliser un audit annuel des biais algorithmiques conformément à l'EU AI Act.</w:t>
      </w:r>
    </w:p>
    <w:p>
      <w:pPr>
        <w:spacing w:after="100" w:before="0"/>
      </w:pPr>
    </w:p>
    <w:p>
      <w:pPr>
        <w:pBdr>
          <w:bottom w:val="single" w:color="1DB954" w:sz="6" w:space="1"/>
        </w:pBdr>
        <w:spacing w:after="160" w:before="160"/>
      </w:pPr>
    </w:p>
    <w:p>
      <w:pPr>
        <w:pStyle w:val="Heading1"/>
        <w:spacing w:after="140" w:before="300"/>
      </w:pPr>
      <w:r>
        <w:rPr>
          <w:rFonts w:ascii="Arial" w:cs="Arial" w:eastAsia="Arial" w:hAnsi="Arial"/>
          <w:b/>
          <w:bCs/>
          <w:color w:val="1A1A2E"/>
          <w:sz w:val="36"/>
          <w:szCs w:val="36"/>
        </w:rPr>
        <w:t xml:space="preserve">3. Rôles et responsabilités</w:t>
      </w:r>
    </w:p>
    <w:p>
      <w:pPr>
        <w:spacing w:after="80" w:before="60"/>
      </w:pPr>
      <w:r>
        <w:rPr>
          <w:rFonts w:ascii="Arial" w:cs="Arial" w:eastAsia="Arial" w:hAnsi="Arial"/>
          <w:color w:val="333333"/>
          <w:sz w:val="22"/>
          <w:szCs w:val="22"/>
        </w:rPr>
        <w:t xml:space="preserve">La gouvernance des données chez Spotify repose sur une structure de 15 rôles identifiés, couvrant l'ensemble du spectre stratégique, opérationnel et technique de la gestion des données.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700"/>
        <w:gridCol w:w="15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Responsabilités clés</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Périmètre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Reporte à</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COMEX (Comité Exécutif)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Validation stratégique et budgétaire du programme de gouvernance. Arbitrage ultime.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Organisation entière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Chief Data Officer (CDO)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Stratégie globale de gouvernance, pilotage du programme, animation du Comité.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Toute l'organisation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COMEX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Protection Officer (DPO)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Conformité RGPD, gestion des demandes utilisateurs (DSR), notification de violations aux autorités.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Données personnelles (PII)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COMEX (indépendant)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Compliance Manager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Suivi des exigences CCPA, PCI-DSS et réglementations locales (184 marchés). Audits de conformité.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Toute réglementation applicable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 + Juridique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Architect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Conception de l'architecture data (data mesh, data contracts, schémas), data lineage, infrastructures.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Systèmes et pipelines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 + CTO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Auditor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Contrôle indépendant du respect des politiques de gouvernance, production de rapports d'audit trimestriels.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Tous les domaines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Quality Manager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Définition et suivi des métriques de qualité (DQ Score). Supervision des règles de validation des données.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Tous les datasets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CISO (Chief Information Security Officer)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Sécurité des systèmes d'information, gestion des incidents, MFA, SIEM, audit des accès API tiers.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Systèmes et données sensibles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COMEX + CDO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Formateurs data (Data Trainers)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Conception et animation des formations Data Literacy pour les équipes non-techniques.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Tous les collaborateurs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Équipe BI (Business Intelligence)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Production des tableaux de bord de gouvernance, reporting KPIs pour le COMEX et le CDO.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Métriques et rapports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Governance Committee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Validation des politiques, arbitrage inter-domaines, suivi des jalons du programme, révision semestrielle.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Transversal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Owner (Responsable domaine)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Responsabilité métier des données d'un domaine (ex : écoutes, paiements, profils utilisateurs).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Domaine métier assigné</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Steward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Qualité, cohérence, documentation et gestion des accès aux données au quotidien.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Datasets assignés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Data Owner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Engineer / Data Scientist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Infrastructure, pipelines, modèles ML, data contracts techniques. Producteurs et consommateurs de données.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Systèmes data &amp; modèles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CTO / Data Owner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Data Users (utilisateurs finaux)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Consommation des données dans le respect des règles d'accès. Remontée des anomalies de qualité.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Données autorisées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Data Owner</w:t>
            </w:r>
          </w:p>
        </w:tc>
      </w:tr>
    </w:tbl>
    <w:p>
      <w:pPr>
        <w:spacing w:after="100" w:before="0"/>
      </w:pPr>
    </w:p>
    <w:p>
      <w:pPr>
        <w:pBdr>
          <w:bottom w:val="single" w:color="1DB954" w:sz="6" w:space="1"/>
        </w:pBdr>
        <w:spacing w:after="160" w:before="160"/>
      </w:pPr>
    </w:p>
    <w:p>
      <w:pPr>
        <w:pStyle w:val="Heading1"/>
        <w:spacing w:after="140" w:before="300"/>
      </w:pPr>
      <w:r>
        <w:rPr>
          <w:rFonts w:ascii="Arial" w:cs="Arial" w:eastAsia="Arial" w:hAnsi="Arial"/>
          <w:b/>
          <w:bCs/>
          <w:color w:val="1A1A2E"/>
          <w:sz w:val="36"/>
          <w:szCs w:val="36"/>
        </w:rPr>
        <w:t xml:space="preserve">4. Conformité réglementaire</w:t>
      </w:r>
    </w:p>
    <w:p>
      <w:pPr>
        <w:spacing w:after="80" w:before="60"/>
      </w:pPr>
      <w:r>
        <w:rPr>
          <w:rFonts w:ascii="Arial" w:cs="Arial" w:eastAsia="Arial" w:hAnsi="Arial"/>
          <w:color w:val="333333"/>
          <w:sz w:val="22"/>
          <w:szCs w:val="22"/>
        </w:rPr>
        <w:t xml:space="preserve">Le tableau ci-dessous synthétise les principales exigences réglementaires applicables à Spotify et leur statut de mise en conformité au moment de la rédaction de cette politique (mai 2026). L'EU AI Act a été ajouté en v2 compte tenu de son entrée en vigueur progressive jusqu'en 2027.</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60"/>
        <w:gridCol w:w="31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Réglementation</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Exigence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 actuel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RGPD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Consentement explicite avant tout traitement de données personnelles</w:t>
            </w:r>
          </w:p>
        </w:tc>
        <w:tc>
          <w:tcPr>
            <w:tcW w:type="dxa" w:w="31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7"/>
                <w:szCs w:val="17"/>
              </w:rPr>
              <w:t xml:space="preserve">À renforcer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RGPD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Droit d'accès, rectification et suppression (SLA ≤ 30 jours)</w:t>
            </w:r>
          </w:p>
        </w:tc>
        <w:tc>
          <w:tcPr>
            <w:tcW w:type="dxa" w:w="31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7"/>
                <w:szCs w:val="17"/>
              </w:rPr>
              <w:t xml:space="preserve">À renforcer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RGPD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Nomination d'un DPO et registre des traitements (ROPA)</w:t>
            </w:r>
          </w:p>
        </w:tc>
        <w:tc>
          <w:tcPr>
            <w:tcW w:type="dxa" w:w="31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DB954"/>
                <w:sz w:val="17"/>
                <w:szCs w:val="17"/>
              </w:rPr>
              <w:t xml:space="preserve">En place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RGPD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Notification de violation dans les 72 heures (CNIL/IMY)</w:t>
            </w:r>
          </w:p>
        </w:tc>
        <w:tc>
          <w:tcPr>
            <w:tcW w:type="dxa" w:w="31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DB954"/>
                <w:sz w:val="17"/>
                <w:szCs w:val="17"/>
              </w:rPr>
              <w:t xml:space="preserve">En place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RGPD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Privacy by design &amp; Privacy by default dans tous les produits</w:t>
            </w:r>
          </w:p>
        </w:tc>
        <w:tc>
          <w:tcPr>
            <w:tcW w:type="dxa" w:w="31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7"/>
                <w:szCs w:val="17"/>
              </w:rPr>
              <w:t xml:space="preserve">Partiel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CCPA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Opt-out de la vente de données pour les résidents californiens</w:t>
            </w:r>
          </w:p>
        </w:tc>
        <w:tc>
          <w:tcPr>
            <w:tcW w:type="dxa" w:w="31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7"/>
                <w:szCs w:val="17"/>
              </w:rPr>
              <w:t xml:space="preserve">À mettre en place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CCPA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Notice au moment de la collecte de données personnelles</w:t>
            </w:r>
          </w:p>
        </w:tc>
        <w:tc>
          <w:tcPr>
            <w:tcW w:type="dxa" w:w="31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DB954"/>
                <w:sz w:val="17"/>
                <w:szCs w:val="17"/>
              </w:rPr>
              <w:t xml:space="preserve">En place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CCPA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Réponse aux demandes d'accès/suppression dans les 45 jours</w:t>
            </w:r>
          </w:p>
        </w:tc>
        <w:tc>
          <w:tcPr>
            <w:tcW w:type="dxa" w:w="31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7"/>
                <w:szCs w:val="17"/>
              </w:rPr>
              <w:t xml:space="preserve">Partiel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PCI-DSS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Chiffrement des données de paiement (AES-256 / TLS 1.3)</w:t>
            </w:r>
          </w:p>
        </w:tc>
        <w:tc>
          <w:tcPr>
            <w:tcW w:type="dxa" w:w="31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DB954"/>
                <w:sz w:val="17"/>
                <w:szCs w:val="17"/>
              </w:rPr>
              <w:t xml:space="preserve">En place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PCI-DSS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Audit annuel certifié par un QSA (Qualified Security Assessor)</w:t>
            </w:r>
          </w:p>
        </w:tc>
        <w:tc>
          <w:tcPr>
            <w:tcW w:type="dxa" w:w="31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7"/>
                <w:szCs w:val="17"/>
              </w:rPr>
              <w:t xml:space="preserve">À programmer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PCI-DSS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Contrôle d'accès strict aux données de cartes (principe moindre privilège)</w:t>
            </w:r>
          </w:p>
        </w:tc>
        <w:tc>
          <w:tcPr>
            <w:tcW w:type="dxa" w:w="31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DB954"/>
                <w:sz w:val="17"/>
                <w:szCs w:val="17"/>
              </w:rPr>
              <w:t xml:space="preserve">En place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EU AI Act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Transparence des algorithmes de recommandation (systèmes à risque élevé)</w:t>
            </w:r>
          </w:p>
        </w:tc>
        <w:tc>
          <w:tcPr>
            <w:tcW w:type="dxa" w:w="31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7"/>
                <w:szCs w:val="17"/>
              </w:rPr>
              <w:t xml:space="preserve">À évaluer</w:t>
            </w:r>
          </w:p>
        </w:tc>
      </w:tr>
    </w:tbl>
    <w:p>
      <w:pPr>
        <w:spacing w:after="100" w:before="0"/>
      </w:pPr>
    </w:p>
    <w:p>
      <w:pPr>
        <w:pBdr>
          <w:bottom w:val="single" w:color="1DB954" w:sz="6" w:space="1"/>
        </w:pBdr>
        <w:spacing w:after="160" w:before="160"/>
      </w:pPr>
    </w:p>
    <w:p>
      <w:pPr>
        <w:pStyle w:val="Heading1"/>
        <w:spacing w:after="140" w:before="300"/>
      </w:pPr>
      <w:r>
        <w:rPr>
          <w:rFonts w:ascii="Arial" w:cs="Arial" w:eastAsia="Arial" w:hAnsi="Arial"/>
          <w:b/>
          <w:bCs/>
          <w:color w:val="1A1A2E"/>
          <w:sz w:val="36"/>
          <w:szCs w:val="36"/>
        </w:rPr>
        <w:t xml:space="preserve">5. Contrôle, sanctions et révision</w:t>
      </w:r>
    </w:p>
    <w:p>
      <w:pPr>
        <w:pStyle w:val="Heading2"/>
        <w:spacing w:after="100" w:before="220"/>
      </w:pPr>
      <w:r>
        <w:rPr>
          <w:rFonts w:ascii="Arial" w:cs="Arial" w:eastAsia="Arial" w:hAnsi="Arial"/>
          <w:b/>
          <w:bCs/>
          <w:color w:val="6C2DC7"/>
          <w:sz w:val="26"/>
          <w:szCs w:val="26"/>
        </w:rPr>
        <w:t xml:space="preserve">5.1 Contrôle</w:t>
      </w:r>
    </w:p>
    <w:p>
      <w:pPr>
        <w:pStyle w:val="ListParagraph"/>
        <w:numPr>
          <w:ilvl w:val="0"/>
          <w:numId w:val="2"/>
        </w:numPr>
        <w:spacing w:after="40" w:before="40"/>
      </w:pPr>
      <w:r>
        <w:rPr>
          <w:rFonts w:ascii="Arial" w:cs="Arial" w:eastAsia="Arial" w:hAnsi="Arial"/>
          <w:color w:val="333333"/>
          <w:sz w:val="21"/>
          <w:szCs w:val="21"/>
        </w:rPr>
        <w:t xml:space="preserve">Audits internes trimestriels pilotés par le Data Governance Committee</w:t>
      </w:r>
    </w:p>
    <w:p>
      <w:pPr>
        <w:pStyle w:val="ListParagraph"/>
        <w:numPr>
          <w:ilvl w:val="0"/>
          <w:numId w:val="2"/>
        </w:numPr>
        <w:spacing w:after="40" w:before="40"/>
      </w:pPr>
      <w:r>
        <w:rPr>
          <w:rFonts w:ascii="Arial" w:cs="Arial" w:eastAsia="Arial" w:hAnsi="Arial"/>
          <w:color w:val="333333"/>
          <w:sz w:val="21"/>
          <w:szCs w:val="21"/>
        </w:rPr>
        <w:t xml:space="preserve">Audit externe annuel par un cabinet certifié (RGPD + PCI-DSS)</w:t>
      </w:r>
    </w:p>
    <w:p>
      <w:pPr>
        <w:pStyle w:val="ListParagraph"/>
        <w:numPr>
          <w:ilvl w:val="0"/>
          <w:numId w:val="2"/>
        </w:numPr>
        <w:spacing w:after="40" w:before="40"/>
      </w:pPr>
      <w:r>
        <w:rPr>
          <w:rFonts w:ascii="Arial" w:cs="Arial" w:eastAsia="Arial" w:hAnsi="Arial"/>
          <w:color w:val="333333"/>
          <w:sz w:val="21"/>
          <w:szCs w:val="21"/>
        </w:rPr>
        <w:t xml:space="preserve">Tableau de bord Power BI de conformité accessible en temps réel au CDO, DPO et COMEX</w:t>
      </w:r>
    </w:p>
    <w:p>
      <w:pPr>
        <w:pStyle w:val="ListParagraph"/>
        <w:numPr>
          <w:ilvl w:val="0"/>
          <w:numId w:val="2"/>
        </w:numPr>
        <w:spacing w:after="40" w:before="40"/>
      </w:pPr>
      <w:r>
        <w:rPr>
          <w:rFonts w:ascii="Arial" w:cs="Arial" w:eastAsia="Arial" w:hAnsi="Arial"/>
          <w:color w:val="333333"/>
          <w:sz w:val="21"/>
          <w:szCs w:val="21"/>
        </w:rPr>
        <w:t xml:space="preserve">Rapport de maturité annuel présenté au COMEX en janvier de chaque année</w:t>
      </w:r>
    </w:p>
    <w:p>
      <w:pPr>
        <w:spacing w:after="100" w:before="0"/>
      </w:pPr>
    </w:p>
    <w:p>
      <w:pPr>
        <w:pStyle w:val="Heading2"/>
        <w:spacing w:after="100" w:before="220"/>
      </w:pPr>
      <w:r>
        <w:rPr>
          <w:rFonts w:ascii="Arial" w:cs="Arial" w:eastAsia="Arial" w:hAnsi="Arial"/>
          <w:b/>
          <w:bCs/>
          <w:color w:val="6C2DC7"/>
          <w:sz w:val="26"/>
          <w:szCs w:val="26"/>
        </w:rPr>
        <w:t xml:space="preserve">5.2 Non-conformité</w:t>
      </w:r>
    </w:p>
    <w:p>
      <w:pPr>
        <w:spacing w:after="80" w:before="60"/>
      </w:pPr>
      <w:r>
        <w:rPr>
          <w:rFonts w:ascii="Arial" w:cs="Arial" w:eastAsia="Arial" w:hAnsi="Arial"/>
          <w:color w:val="333333"/>
          <w:sz w:val="22"/>
          <w:szCs w:val="22"/>
        </w:rPr>
        <w:t xml:space="preserve">Tout manquement à la présente politique peut entraîner des mesures disciplinaires graduées : avertissement formel → restriction d'accès aux systèmes de données → mesures légales en cas de violation grave (données personnelles, sécurité). Les violations impliquant des données personnelles sont notifiées aux autorités compétentes (CNIL, ICO, IMY) dans les délais réglementaires (72h pour le RGPD).</w:t>
      </w:r>
    </w:p>
    <w:p>
      <w:pPr>
        <w:spacing w:after="100" w:before="0"/>
      </w:pPr>
    </w:p>
    <w:p>
      <w:pPr>
        <w:pStyle w:val="Heading2"/>
        <w:spacing w:after="100" w:before="220"/>
      </w:pPr>
      <w:r>
        <w:rPr>
          <w:rFonts w:ascii="Arial" w:cs="Arial" w:eastAsia="Arial" w:hAnsi="Arial"/>
          <w:b/>
          <w:bCs/>
          <w:color w:val="6C2DC7"/>
          <w:sz w:val="26"/>
          <w:szCs w:val="26"/>
        </w:rPr>
        <w:t xml:space="preserve">5.3 Révision et cycle de vie de la politique</w:t>
      </w:r>
    </w:p>
    <w:p>
      <w:pPr>
        <w:spacing w:after="80" w:before="60"/>
      </w:pPr>
      <w:r>
        <w:rPr>
          <w:rFonts w:ascii="Arial" w:cs="Arial" w:eastAsia="Arial" w:hAnsi="Arial"/>
          <w:color w:val="333333"/>
          <w:sz w:val="22"/>
          <w:szCs w:val="22"/>
        </w:rPr>
        <w:t xml:space="preserve">Cette politique est un document vivant. Elle est révisée semestriellement (mai et novembre) ou de façon exceptionnelle suite à un événement déclencheur (nouvelle réglementation, incident majeur, restructuration organisationnelle). Le processus de révision suit les étapes suivantes :</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1600"/>
        <w:gridCol w:w="10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c>
          <w:tcPr>
            <w:tcW w:type="dxa" w:w="1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Délai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Déclenchement de la révision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Révision semestrielle planifiée (mai / novembre) OU événement déclencheur : nouvelle réglementation, incident majeur, changement organisationnel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Collecte des retours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Consultation des Data Owners, DPO, CISO et équipes Compliance sur les évolutions nécessaires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Data Governance Committee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2 semaines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Rédaction des amendements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Mise à jour des sections concernées. Traçabilité des modifications (versioning documenté)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 + Compliance Manager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3 semaines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Validation juridique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Revue par l'équipe juridique pour conformité réglementaire (RGPD, CCPA, lois locales)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DPO + Juridique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1 semaine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Approbation COMEX</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Présentation en réunion COMEX, vote d'approbation de la nouvelle 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COMEX</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1 semaine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Diffusion &amp; communication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Publication sur l'intranet Spotify, notification à tous les collaborateurs, mise à jour du Data Catalog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CDO + Communication interne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1 semaine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Formation si nécessaire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Session de formation si la révision introduit de nouveaux processus ou obligations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6EA4"/>
                <w:sz w:val="17"/>
                <w:szCs w:val="17"/>
              </w:rPr>
              <w:t xml:space="preserve">Formateurs data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2 semaines</w:t>
            </w:r>
          </w:p>
        </w:tc>
      </w:tr>
    </w:tbl>
    <w:p>
      <w:pPr>
        <w:spacing w:after="100" w:before="0"/>
      </w:pPr>
    </w:p>
    <w:p>
      <w:pPr>
        <w:spacing w:after="80" w:before="60"/>
      </w:pPr>
      <w:r>
        <w:rPr>
          <w:rFonts w:ascii="Arial" w:cs="Arial" w:eastAsia="Arial" w:hAnsi="Arial"/>
          <w:color w:val="555555"/>
          <w:sz w:val="22"/>
          <w:szCs w:val="22"/>
        </w:rPr>
        <w:t xml:space="preserve">Toute version révisée remplace intégralement la version précédente. L'historique des versions est maintenu dans le Data Catalog Alation. Les parties prenantes reçoivent une notification par email et via le canal Slack #data-governance dès publication d'une nouvelle version.</w:t>
      </w:r>
    </w:p>
    <w:p>
      <w:pPr>
        <w:spacing w:after="200" w:before="0"/>
      </w:pPr>
    </w:p>
    <w:p>
      <w:pPr>
        <w:pBdr>
          <w:bottom w:val="single" w:color="1DB954" w:sz="6" w:space="1"/>
        </w:pBdr>
        <w:spacing w:after="160" w:before="160"/>
      </w:pPr>
    </w:p>
    <w:p>
      <w:pPr>
        <w:spacing w:before="120"/>
        <w:jc w:val="center"/>
      </w:pPr>
      <w:r>
        <w:rPr>
          <w:rFonts w:ascii="Arial" w:cs="Arial" w:eastAsia="Arial" w:hAnsi="Arial"/>
          <w:color w:val="888888"/>
          <w:sz w:val="20"/>
          <w:szCs w:val="20"/>
        </w:rPr>
        <w:t xml:space="preserve">— Politique de Gouvernance des Données — Version 2.0 | Spotify AB | Mai 2026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B954" w:sz="4" w:space="1"/>
      </w:pBdr>
      <w:jc w:val="center"/>
    </w:pPr>
    <w:r>
      <w:rPr>
        <w:rFonts w:ascii="Arial" w:cs="Arial" w:eastAsia="Arial" w:hAnsi="Arial"/>
        <w:color w:val="888888"/>
        <w:sz w:val="18"/>
        <w:szCs w:val="18"/>
      </w:rPr>
      <w:t xml:space="preserve">Version 2.0 — Mai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4" w:space="1"/>
      </w:pBdr>
      <w:jc w:val="right"/>
    </w:pPr>
    <w:r>
      <w:rPr>
        <w:rFonts w:ascii="Arial" w:cs="Arial" w:eastAsia="Arial" w:hAnsi="Arial"/>
        <w:color w:val="777777"/>
        <w:sz w:val="18"/>
        <w:szCs w:val="18"/>
      </w:rPr>
      <w:t xml:space="preserve">SPOTIFY | Politique de Gouvernance des Données v2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DB954"/>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6C2D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2026-05-22T19:34:12.742Z</dcterms:created>
  <dcterms:modified xsi:type="dcterms:W3CDTF">2026-05-22T19:34:12.742Z</dcterms:modified>
</cp:coreProperties>
</file>

<file path=docProps/custom.xml><?xml version="1.0" encoding="utf-8"?>
<Properties xmlns="http://schemas.openxmlformats.org/officeDocument/2006/custom-properties" xmlns:vt="http://schemas.openxmlformats.org/officeDocument/2006/docPropsVTypes"/>
</file>