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 Life (83502) Reconciliation</w:t>
        <w:br/>
        <w:t>Executive Investigation Report</w:t>
      </w:r>
    </w:p>
    <w:p>
      <w:pPr>
        <w:pStyle w:val="Heading2"/>
      </w:pPr>
      <w:r>
        <w:t>Subject</w:t>
      </w:r>
    </w:p>
    <w:p>
      <w:r>
        <w:t>Best Life (83502) Reconciliation – Executive Investigation Update</w:t>
      </w:r>
    </w:p>
    <w:p>
      <w:pPr>
        <w:pStyle w:val="Heading2"/>
      </w:pPr>
      <w:r>
        <w:t>Executive Summary</w:t>
      </w:r>
    </w:p>
    <w:p>
      <w:r>
        <w:t>Following today's working session, we performed a detailed manual reconciliation between the Best Life (HIOS 83502) Sisense report, the Azure inbound_automation data, the Georgia Access Workbench, and supporting XML files. The investigation shows that the initially missing population is not explained by a single issue. Instead, the records fall into multiple reconciliation patterns. A significant portion of the population has already been explained, leaving a much smaller set that requires source-file level investigation.</w:t>
      </w:r>
    </w:p>
    <w:p>
      <w:pPr>
        <w:pStyle w:val="Heading2"/>
      </w:pPr>
      <w:r>
        <w:t>Key Findings</w:t>
      </w:r>
    </w:p>
    <w:p>
      <w:r>
        <w:rPr>
          <w:b/>
        </w:rPr>
        <w:t>Finding 1 – Cross-Issuer Matches</w:t>
      </w:r>
      <w:r>
        <w:br/>
        <w:t>Many enrollee IDs initially classified as missing were located in Azure under different issuers. This confirms that these people exist in Azure, although it does not by itself prove that the corresponding Best Life enrollment was loaded.</w:t>
      </w:r>
    </w:p>
    <w:p>
      <w:r>
        <w:rPr>
          <w:b/>
        </w:rPr>
        <w:t>Finding 2 – Coverage Year Differences</w:t>
      </w:r>
      <w:r>
        <w:br/>
        <w:t>Several records expected under 2026 were found under coverage year 2025, demonstrating that coverage-year assignment differs for part of the population.</w:t>
      </w:r>
    </w:p>
    <w:p>
      <w:r>
        <w:rPr>
          <w:b/>
        </w:rPr>
        <w:t>Finding 3 – Household Resolution</w:t>
      </w:r>
      <w:r>
        <w:br/>
        <w:t>Workbench frequently resolves dependent searches through the subscriber policy and household instead of returning the dependent directly.</w:t>
      </w:r>
    </w:p>
    <w:p>
      <w:r>
        <w:rPr>
          <w:b/>
        </w:rPr>
        <w:t>Finding 4 – Partial Household Matches</w:t>
      </w:r>
      <w:r>
        <w:br/>
        <w:t>In some cases the policy and subscriber exist in Azure while one or more dependent member IDs are absent.</w:t>
      </w:r>
    </w:p>
    <w:p>
      <w:r>
        <w:rPr>
          <w:b/>
        </w:rPr>
        <w:t>Finding 5 – Remaining Unresolved Population</w:t>
      </w:r>
      <w:r>
        <w:br/>
        <w:t>A smaller residual population still cannot be located in Azure and should become the primary focus of source-file and file-log validation.</w:t>
      </w:r>
    </w:p>
    <w:p>
      <w:pPr>
        <w:pStyle w:val="Heading2"/>
      </w:pPr>
      <w:r>
        <w:t>Representative Examples</w:t>
      </w:r>
    </w:p>
    <w:tbl>
      <w:tblPr>
        <w:tblW w:type="auto" w:w="0"/>
        <w:tblLook w:firstColumn="1" w:firstRow="1" w:lastColumn="0" w:lastRow="0" w:noHBand="0" w:noVBand="1" w:val="04A0"/>
      </w:tblPr>
      <w:tblGrid>
        <w:gridCol w:w="2160"/>
        <w:gridCol w:w="2160"/>
        <w:gridCol w:w="2160"/>
        <w:gridCol w:w="2160"/>
      </w:tblGrid>
      <w:tr>
        <w:tc>
          <w:tcPr>
            <w:tcW w:type="dxa" w:w="2160"/>
          </w:tcPr>
          <w:p>
            <w:r>
              <w:t>Category</w:t>
            </w:r>
          </w:p>
        </w:tc>
        <w:tc>
          <w:tcPr>
            <w:tcW w:type="dxa" w:w="2160"/>
          </w:tcPr>
          <w:p>
            <w:r>
              <w:t>Example</w:t>
            </w:r>
          </w:p>
        </w:tc>
        <w:tc>
          <w:tcPr>
            <w:tcW w:type="dxa" w:w="2160"/>
          </w:tcPr>
          <w:p>
            <w:r>
              <w:t>Observation</w:t>
            </w:r>
          </w:p>
        </w:tc>
        <w:tc>
          <w:tcPr>
            <w:tcW w:type="dxa" w:w="2160"/>
          </w:tcPr>
          <w:p>
            <w:r>
              <w:t>Conclusion</w:t>
            </w:r>
          </w:p>
        </w:tc>
      </w:tr>
      <w:tr>
        <w:tc>
          <w:tcPr>
            <w:tcW w:type="dxa" w:w="2160"/>
          </w:tcPr>
          <w:p>
            <w:r>
              <w:t>Cross-Issuer</w:t>
            </w:r>
          </w:p>
        </w:tc>
        <w:tc>
          <w:tcPr>
            <w:tcW w:type="dxa" w:w="2160"/>
          </w:tcPr>
          <w:p>
            <w:r>
              <w:t>Policy 211838771</w:t>
            </w:r>
          </w:p>
        </w:tc>
        <w:tc>
          <w:tcPr>
            <w:tcW w:type="dxa" w:w="2160"/>
          </w:tcPr>
          <w:p>
            <w:r>
              <w:t>Found under issuer 49046; member 1002168067 exists while 1006457453 does not.</w:t>
            </w:r>
          </w:p>
        </w:tc>
        <w:tc>
          <w:tcPr>
            <w:tcW w:type="dxa" w:w="2160"/>
          </w:tcPr>
          <w:p>
            <w:r>
              <w:t>Person exists in Azure but not under expected issuer.</w:t>
            </w:r>
          </w:p>
        </w:tc>
      </w:tr>
      <w:tr>
        <w:tc>
          <w:tcPr>
            <w:tcW w:type="dxa" w:w="2160"/>
          </w:tcPr>
          <w:p>
            <w:r>
              <w:t>Household Resolution</w:t>
            </w:r>
          </w:p>
        </w:tc>
        <w:tc>
          <w:tcPr>
            <w:tcW w:type="dxa" w:w="2160"/>
          </w:tcPr>
          <w:p>
            <w:r>
              <w:t>Search 1007765191</w:t>
            </w:r>
          </w:p>
        </w:tc>
        <w:tc>
          <w:tcPr>
            <w:tcW w:type="dxa" w:w="2160"/>
          </w:tcPr>
          <w:p>
            <w:r>
              <w:t>Workbench resolves to policy 1000219154 and subscriber 1007765200.</w:t>
            </w:r>
          </w:p>
        </w:tc>
        <w:tc>
          <w:tcPr>
            <w:tcW w:type="dxa" w:w="2160"/>
          </w:tcPr>
          <w:p>
            <w:r>
              <w:t>Dependent searches may resolve through household.</w:t>
            </w:r>
          </w:p>
        </w:tc>
      </w:tr>
      <w:tr>
        <w:tc>
          <w:tcPr>
            <w:tcW w:type="dxa" w:w="2160"/>
          </w:tcPr>
          <w:p>
            <w:r>
              <w:t>Unresolved</w:t>
            </w:r>
          </w:p>
        </w:tc>
        <w:tc>
          <w:tcPr>
            <w:tcW w:type="dxa" w:w="2160"/>
          </w:tcPr>
          <w:p>
            <w:r>
              <w:t>Policy 210955684</w:t>
            </w:r>
          </w:p>
        </w:tc>
        <w:tc>
          <w:tcPr>
            <w:tcW w:type="dxa" w:w="2160"/>
          </w:tcPr>
          <w:p>
            <w:r>
              <w:t>Policy and members not located in Azure.</w:t>
            </w:r>
          </w:p>
        </w:tc>
        <w:tc>
          <w:tcPr>
            <w:tcW w:type="dxa" w:w="2160"/>
          </w:tcPr>
          <w:p>
            <w:r>
              <w:t>Highest priority for source-file investigation.</w:t>
            </w:r>
          </w:p>
        </w:tc>
      </w:tr>
    </w:tbl>
    <w:p>
      <w:pPr>
        <w:pStyle w:val="Heading2"/>
      </w:pPr>
      <w:r>
        <w:t>Attachments</w:t>
      </w:r>
    </w:p>
    <w:p>
      <w:r>
        <w:t>1. Issuer/Coverage-Year investigation workbook</w:t>
        <w:br/>
        <w:t>2. Supporting XML examples</w:t>
        <w:br/>
        <w:t>3. Manual spot-check examples</w:t>
      </w:r>
    </w:p>
    <w:p>
      <w:pPr>
        <w:pStyle w:val="Heading2"/>
      </w:pPr>
      <w:r>
        <w:t>Next Validation Steps</w:t>
      </w:r>
    </w:p>
    <w:p>
      <w:pPr>
        <w:pStyle w:val="ListBullet"/>
      </w:pPr>
      <w:r>
        <w:t>Issuer-specific validation (83502 only).</w:t>
      </w:r>
    </w:p>
    <w:p>
      <w:pPr>
        <w:pStyle w:val="ListBullet"/>
      </w:pPr>
      <w:r>
        <w:t>Policy-level reconciliation using enrollment/policy IDs.</w:t>
      </w:r>
    </w:p>
    <w:p>
      <w:pPr>
        <w:pStyle w:val="ListBullet"/>
      </w:pPr>
      <w:r>
        <w:t>Account History → source file → inbound_automation_file_log validation.</w:t>
      </w:r>
    </w:p>
    <w:p>
      <w:pPr>
        <w:pStyle w:val="ListBullet"/>
      </w:pPr>
      <w:r>
        <w:t>Household inventory validation (subscriber and dependents).</w:t>
      </w:r>
    </w:p>
    <w:p>
      <w:pPr>
        <w:pStyle w:val="ListBullet"/>
      </w:pPr>
      <w:r>
        <w:t>Investigate only the remaining unresolved population after removing explained patterns.</w:t>
      </w:r>
    </w:p>
    <w:p>
      <w:pPr>
        <w:pStyle w:val="Heading2"/>
      </w:pPr>
      <w:r>
        <w:t>Closing Assessment</w:t>
      </w:r>
    </w:p>
    <w:p>
      <w:r>
        <w:t>The manual investigation significantly reduced the unexplained population by classifying records into repeatable reconciliation patterns. The remaining unresolved records represent the strongest candidates for parser, source-file, or business-rule investigation and will be the focus of the next phase.</w:t>
      </w:r>
    </w:p>
    <w:p>
      <w:r>
        <w:br/>
        <w:t>Thanks,</w:t>
        <w:br/>
        <w:br/>
        <w:t>Selma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