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D5F2F" w14:textId="77777777" w:rsidR="00A80684" w:rsidRPr="00A11B87" w:rsidRDefault="004115C3" w:rsidP="00A11B87">
      <w:pPr>
        <w:spacing w:line="360" w:lineRule="auto"/>
        <w:ind w:left="720"/>
        <w:jc w:val="center"/>
        <w:rPr>
          <w:rFonts w:ascii="Times New Roman" w:eastAsia="Times New Roman" w:hAnsi="Times New Roman" w:cs="Times New Roman"/>
          <w:b/>
          <w:sz w:val="36"/>
          <w:szCs w:val="36"/>
          <w:lang w:val="hu-HU"/>
        </w:rPr>
      </w:pPr>
      <w:r>
        <w:rPr>
          <w:rFonts w:ascii="Times New Roman" w:eastAsia="Times New Roman" w:hAnsi="Times New Roman" w:cs="Times New Roman"/>
          <w:b/>
          <w:sz w:val="36"/>
          <w:szCs w:val="36"/>
          <w:lang w:val="hu-HU"/>
        </w:rPr>
        <w:t>Empirikus</w:t>
      </w:r>
      <w:r w:rsidR="00C445D9" w:rsidRPr="00560313">
        <w:rPr>
          <w:rFonts w:ascii="Times New Roman" w:eastAsia="Times New Roman" w:hAnsi="Times New Roman" w:cs="Times New Roman"/>
          <w:b/>
          <w:sz w:val="36"/>
          <w:szCs w:val="36"/>
          <w:lang w:val="hu-HU"/>
        </w:rPr>
        <w:t xml:space="preserve"> pénzügyek - </w:t>
      </w:r>
      <w:r w:rsidR="00A45C00">
        <w:rPr>
          <w:rFonts w:ascii="Times New Roman" w:eastAsia="Times New Roman" w:hAnsi="Times New Roman" w:cs="Times New Roman"/>
          <w:b/>
          <w:sz w:val="36"/>
          <w:szCs w:val="36"/>
          <w:lang w:val="hu-HU"/>
        </w:rPr>
        <w:t>3</w:t>
      </w:r>
      <w:r w:rsidR="00C445D9" w:rsidRPr="00560313">
        <w:rPr>
          <w:rFonts w:ascii="Times New Roman" w:eastAsia="Times New Roman" w:hAnsi="Times New Roman" w:cs="Times New Roman"/>
          <w:b/>
          <w:sz w:val="36"/>
          <w:szCs w:val="36"/>
          <w:lang w:val="hu-HU"/>
        </w:rPr>
        <w:t>. házi feladat</w:t>
      </w:r>
    </w:p>
    <w:p w14:paraId="4C1D5F30" w14:textId="77777777" w:rsidR="00A11B87" w:rsidRPr="00560313" w:rsidRDefault="00A11B87">
      <w:pPr>
        <w:spacing w:line="360" w:lineRule="auto"/>
        <w:jc w:val="both"/>
        <w:rPr>
          <w:rFonts w:ascii="Times New Roman" w:eastAsia="Times New Roman" w:hAnsi="Times New Roman" w:cs="Times New Roman"/>
          <w:sz w:val="24"/>
          <w:szCs w:val="24"/>
          <w:lang w:val="hu-HU"/>
        </w:rPr>
      </w:pPr>
    </w:p>
    <w:p w14:paraId="4C1D5F31" w14:textId="77777777" w:rsidR="00EE24D2" w:rsidRDefault="004115C3" w:rsidP="00B83CD3">
      <w:pPr>
        <w:spacing w:line="360" w:lineRule="auto"/>
        <w:jc w:val="both"/>
        <w:rPr>
          <w:rFonts w:ascii="Times New Roman" w:eastAsia="Times New Roman" w:hAnsi="Times New Roman" w:cs="Times New Roman"/>
          <w:b/>
          <w:sz w:val="24"/>
          <w:szCs w:val="24"/>
          <w:lang w:val="hu-HU"/>
        </w:rPr>
      </w:pPr>
      <w:r w:rsidRPr="004115C3">
        <w:rPr>
          <w:rFonts w:ascii="Times New Roman" w:eastAsia="Times New Roman" w:hAnsi="Times New Roman" w:cs="Times New Roman"/>
          <w:b/>
          <w:sz w:val="24"/>
          <w:szCs w:val="24"/>
          <w:lang w:val="hu-HU"/>
        </w:rPr>
        <w:t>1.</w:t>
      </w:r>
      <w:r>
        <w:rPr>
          <w:rFonts w:ascii="Times New Roman" w:eastAsia="Times New Roman" w:hAnsi="Times New Roman" w:cs="Times New Roman"/>
          <w:b/>
          <w:sz w:val="24"/>
          <w:szCs w:val="24"/>
          <w:lang w:val="hu-HU"/>
        </w:rPr>
        <w:t xml:space="preserve"> </w:t>
      </w:r>
      <w:r w:rsidRPr="004115C3">
        <w:rPr>
          <w:rFonts w:ascii="Times New Roman" w:eastAsia="Times New Roman" w:hAnsi="Times New Roman" w:cs="Times New Roman"/>
          <w:b/>
          <w:sz w:val="24"/>
          <w:szCs w:val="24"/>
          <w:lang w:val="hu-HU"/>
        </w:rPr>
        <w:t xml:space="preserve">Az adatok </w:t>
      </w:r>
      <w:r w:rsidR="00351D4F">
        <w:rPr>
          <w:rFonts w:ascii="Times New Roman" w:eastAsia="Times New Roman" w:hAnsi="Times New Roman" w:cs="Times New Roman"/>
          <w:b/>
          <w:sz w:val="24"/>
          <w:szCs w:val="24"/>
          <w:lang w:val="hu-HU"/>
        </w:rPr>
        <w:t xml:space="preserve">előkészítése </w:t>
      </w:r>
      <w:r w:rsidR="00524132">
        <w:rPr>
          <w:rFonts w:ascii="Times New Roman" w:eastAsia="Times New Roman" w:hAnsi="Times New Roman" w:cs="Times New Roman"/>
          <w:b/>
          <w:sz w:val="24"/>
          <w:szCs w:val="24"/>
          <w:lang w:val="hu-HU"/>
        </w:rPr>
        <w:t xml:space="preserve">és </w:t>
      </w:r>
      <w:r w:rsidR="00A11B87">
        <w:rPr>
          <w:rFonts w:ascii="Times New Roman" w:eastAsia="Times New Roman" w:hAnsi="Times New Roman" w:cs="Times New Roman"/>
          <w:b/>
          <w:sz w:val="24"/>
          <w:szCs w:val="24"/>
          <w:lang w:val="hu-HU"/>
        </w:rPr>
        <w:t>hozamszámítás</w:t>
      </w:r>
    </w:p>
    <w:p w14:paraId="4C1D5F32" w14:textId="52BC51B9" w:rsidR="00524132" w:rsidRDefault="00524132" w:rsidP="00B83CD3">
      <w:pPr>
        <w:spacing w:line="360" w:lineRule="auto"/>
        <w:jc w:val="both"/>
        <w:rPr>
          <w:rFonts w:ascii="Times New Roman" w:eastAsia="Times New Roman" w:hAnsi="Times New Roman" w:cs="Times New Roman"/>
          <w:sz w:val="24"/>
          <w:szCs w:val="24"/>
          <w:lang w:val="hu-HU"/>
        </w:rPr>
      </w:pPr>
      <w:r>
        <w:rPr>
          <w:rFonts w:ascii="Times New Roman" w:eastAsia="Times New Roman" w:hAnsi="Times New Roman" w:cs="Times New Roman"/>
          <w:sz w:val="24"/>
          <w:szCs w:val="24"/>
          <w:lang w:val="hu-HU"/>
        </w:rPr>
        <w:t xml:space="preserve">Az adatokat read.csv függvénnyel (és read_excel-el az index esetében) változókba importáltuk. </w:t>
      </w:r>
      <w:r w:rsidR="00A11B87">
        <w:rPr>
          <w:rFonts w:ascii="Times New Roman" w:eastAsia="Times New Roman" w:hAnsi="Times New Roman" w:cs="Times New Roman"/>
          <w:sz w:val="24"/>
          <w:szCs w:val="24"/>
          <w:lang w:val="hu-HU"/>
        </w:rPr>
        <w:t xml:space="preserve">A megadott időszaki hozamszámításra egy függvényt írtunk „process_data” néven. Ez az adott idősorra kiszámolja a napi effektív hozamokat, majd leszűri a 2015.06.22.-2016.06.30 időszakra ezt. </w:t>
      </w:r>
      <w:r w:rsidR="00C0590A">
        <w:rPr>
          <w:rFonts w:ascii="Times New Roman" w:eastAsia="Times New Roman" w:hAnsi="Times New Roman" w:cs="Times New Roman"/>
          <w:sz w:val="24"/>
          <w:szCs w:val="24"/>
          <w:lang w:val="hu-HU"/>
        </w:rPr>
        <w:t>A továbbiakban bemutatott regresszióval történő abnormális hozam becslésének folyamatára is írtunk egy univerzális függvényt, mely az „eventstudy” nevet kapta.</w:t>
      </w:r>
      <w:r w:rsidR="001113BD">
        <w:rPr>
          <w:rFonts w:ascii="Times New Roman" w:eastAsia="Times New Roman" w:hAnsi="Times New Roman" w:cs="Times New Roman"/>
          <w:sz w:val="24"/>
          <w:szCs w:val="24"/>
          <w:lang w:val="hu-HU"/>
        </w:rPr>
        <w:t xml:space="preserve"> A függvények a function.R fájlban találhatóak.</w:t>
      </w:r>
    </w:p>
    <w:p w14:paraId="4C1D5F33" w14:textId="77777777" w:rsidR="00C0590A" w:rsidRDefault="00C0590A" w:rsidP="00B83CD3">
      <w:pPr>
        <w:spacing w:line="360" w:lineRule="auto"/>
        <w:jc w:val="both"/>
        <w:rPr>
          <w:rFonts w:ascii="Times New Roman" w:eastAsia="Times New Roman" w:hAnsi="Times New Roman" w:cs="Times New Roman"/>
          <w:sz w:val="24"/>
          <w:szCs w:val="24"/>
          <w:lang w:val="hu-HU"/>
        </w:rPr>
      </w:pPr>
    </w:p>
    <w:p w14:paraId="4C1D5F34" w14:textId="77777777" w:rsidR="0032467E" w:rsidRPr="0032467E" w:rsidRDefault="0032467E" w:rsidP="00B83CD3">
      <w:pPr>
        <w:spacing w:line="360" w:lineRule="auto"/>
        <w:jc w:val="both"/>
        <w:rPr>
          <w:rFonts w:ascii="Times New Roman" w:eastAsia="Times New Roman" w:hAnsi="Times New Roman" w:cs="Times New Roman"/>
          <w:b/>
          <w:sz w:val="24"/>
          <w:szCs w:val="24"/>
          <w:lang w:val="hu-HU"/>
        </w:rPr>
      </w:pPr>
      <w:r w:rsidRPr="0032467E">
        <w:rPr>
          <w:rFonts w:ascii="Times New Roman" w:eastAsia="Times New Roman" w:hAnsi="Times New Roman" w:cs="Times New Roman"/>
          <w:b/>
          <w:sz w:val="24"/>
          <w:szCs w:val="24"/>
          <w:lang w:val="hu-HU"/>
        </w:rPr>
        <w:t>2. Elvárt hozamok becslése piaci modellel</w:t>
      </w:r>
    </w:p>
    <w:p w14:paraId="4C1D5F35" w14:textId="77777777" w:rsidR="0032467E" w:rsidRDefault="0032467E" w:rsidP="00B83CD3">
      <w:pPr>
        <w:spacing w:line="360" w:lineRule="auto"/>
        <w:jc w:val="both"/>
        <w:rPr>
          <w:rFonts w:ascii="Times New Roman" w:eastAsia="Times New Roman" w:hAnsi="Times New Roman" w:cs="Times New Roman"/>
          <w:sz w:val="24"/>
          <w:szCs w:val="24"/>
          <w:lang w:val="hu-HU"/>
        </w:rPr>
      </w:pPr>
      <w:r>
        <w:rPr>
          <w:rFonts w:ascii="Times New Roman" w:eastAsia="Times New Roman" w:hAnsi="Times New Roman" w:cs="Times New Roman"/>
          <w:sz w:val="24"/>
          <w:szCs w:val="24"/>
          <w:lang w:val="hu-HU"/>
        </w:rPr>
        <w:t>A piaci modellben az elvárt hozamokat vállalatonként az MSCI Europe-pal, mint piaci indexszel, becsüljük. Technikailag minden vállalatra egy egyváltozós regressziót futtatunk, ahol a magyarázó változó az MSCI index napi hozamai és az eredményváltozó az adott vállalat részvényének napi hozamai. A modelleket egyaránt a 2015.06.22.-2016.06.22. perióduson tanítjuk, majd az ezt követő egy hét adatain teszteljük</w:t>
      </w:r>
      <w:r w:rsidR="00C82734">
        <w:rPr>
          <w:rFonts w:ascii="Times New Roman" w:eastAsia="Times New Roman" w:hAnsi="Times New Roman" w:cs="Times New Roman"/>
          <w:sz w:val="24"/>
          <w:szCs w:val="24"/>
          <w:lang w:val="hu-HU"/>
        </w:rPr>
        <w:t xml:space="preserve"> (ez az eseményablak)</w:t>
      </w:r>
      <w:r>
        <w:rPr>
          <w:rFonts w:ascii="Times New Roman" w:eastAsia="Times New Roman" w:hAnsi="Times New Roman" w:cs="Times New Roman"/>
          <w:sz w:val="24"/>
          <w:szCs w:val="24"/>
          <w:lang w:val="hu-HU"/>
        </w:rPr>
        <w:t xml:space="preserve">. </w:t>
      </w:r>
      <w:r w:rsidR="000F0115">
        <w:rPr>
          <w:rFonts w:ascii="Times New Roman" w:eastAsia="Times New Roman" w:hAnsi="Times New Roman" w:cs="Times New Roman"/>
          <w:sz w:val="24"/>
          <w:szCs w:val="24"/>
          <w:lang w:val="hu-HU"/>
        </w:rPr>
        <w:t>A tanítási időszakban felállított regressziós egyenlet</w:t>
      </w:r>
      <w:r>
        <w:rPr>
          <w:rFonts w:ascii="Times New Roman" w:eastAsia="Times New Roman" w:hAnsi="Times New Roman" w:cs="Times New Roman"/>
          <w:sz w:val="24"/>
          <w:szCs w:val="24"/>
          <w:lang w:val="hu-HU"/>
        </w:rPr>
        <w:t xml:space="preserve"> (</w:t>
      </w:r>
      <w:r w:rsidR="00C0590A">
        <w:rPr>
          <w:rFonts w:ascii="Times New Roman" w:eastAsia="Times New Roman" w:hAnsi="Times New Roman" w:cs="Times New Roman"/>
          <w:sz w:val="24"/>
          <w:szCs w:val="24"/>
          <w:lang w:val="hu-HU"/>
        </w:rPr>
        <w:t xml:space="preserve"> r</w:t>
      </w:r>
      <w:r w:rsidR="00C0590A">
        <w:rPr>
          <w:rFonts w:ascii="Times New Roman" w:eastAsia="Times New Roman" w:hAnsi="Times New Roman" w:cs="Times New Roman"/>
          <w:sz w:val="24"/>
          <w:szCs w:val="24"/>
          <w:vertAlign w:val="subscript"/>
          <w:lang w:val="hu-HU"/>
        </w:rPr>
        <w:t>i</w:t>
      </w:r>
      <w:r>
        <w:rPr>
          <w:rFonts w:ascii="Times New Roman" w:eastAsia="Times New Roman" w:hAnsi="Times New Roman" w:cs="Times New Roman"/>
          <w:sz w:val="24"/>
          <w:szCs w:val="24"/>
          <w:lang w:val="hu-HU"/>
        </w:rPr>
        <w:t xml:space="preserve"> = </w:t>
      </w:r>
      <w:r>
        <w:rPr>
          <w:rFonts w:ascii="Times New Roman" w:eastAsia="Times New Roman" w:hAnsi="Times New Roman" w:cs="Times New Roman"/>
          <w:sz w:val="24"/>
          <w:szCs w:val="24"/>
          <w:lang w:val="hu-HU"/>
        </w:rPr>
        <w:sym w:font="Symbol" w:char="F061"/>
      </w:r>
      <w:r>
        <w:rPr>
          <w:rFonts w:ascii="Times New Roman" w:eastAsia="Times New Roman" w:hAnsi="Times New Roman" w:cs="Times New Roman"/>
          <w:sz w:val="24"/>
          <w:szCs w:val="24"/>
          <w:lang w:val="hu-HU"/>
        </w:rPr>
        <w:t>+ß</w:t>
      </w:r>
      <w:r w:rsidR="00C0590A">
        <w:rPr>
          <w:rFonts w:ascii="Times New Roman" w:eastAsia="Times New Roman" w:hAnsi="Times New Roman" w:cs="Times New Roman"/>
          <w:sz w:val="24"/>
          <w:szCs w:val="24"/>
          <w:lang w:val="hu-HU"/>
        </w:rPr>
        <w:t>*r</w:t>
      </w:r>
      <w:r w:rsidR="00C0590A" w:rsidRPr="00C0590A">
        <w:rPr>
          <w:rFonts w:ascii="Times New Roman" w:eastAsia="Times New Roman" w:hAnsi="Times New Roman" w:cs="Times New Roman"/>
          <w:sz w:val="24"/>
          <w:szCs w:val="24"/>
          <w:vertAlign w:val="subscript"/>
          <w:lang w:val="hu-HU"/>
        </w:rPr>
        <w:t>M</w:t>
      </w:r>
      <w:r w:rsidR="00C0590A">
        <w:rPr>
          <w:rFonts w:ascii="Times New Roman" w:eastAsia="Times New Roman" w:hAnsi="Times New Roman" w:cs="Times New Roman"/>
          <w:sz w:val="24"/>
          <w:szCs w:val="24"/>
          <w:vertAlign w:val="subscript"/>
          <w:lang w:val="hu-HU"/>
        </w:rPr>
        <w:t xml:space="preserve"> </w:t>
      </w:r>
      <w:r w:rsidR="00C0590A">
        <w:rPr>
          <w:rFonts w:ascii="Times New Roman" w:eastAsia="Times New Roman" w:hAnsi="Times New Roman" w:cs="Times New Roman"/>
          <w:sz w:val="24"/>
          <w:szCs w:val="24"/>
          <w:lang w:val="hu-HU"/>
        </w:rPr>
        <w:t xml:space="preserve">) </w:t>
      </w:r>
      <w:r w:rsidR="000F0115">
        <w:rPr>
          <w:rFonts w:ascii="Times New Roman" w:eastAsia="Times New Roman" w:hAnsi="Times New Roman" w:cs="Times New Roman"/>
          <w:sz w:val="24"/>
          <w:szCs w:val="24"/>
          <w:lang w:val="hu-HU"/>
        </w:rPr>
        <w:t>megadja számunkra a kapcsolatot a piaci</w:t>
      </w:r>
      <w:r w:rsidR="00C82734">
        <w:rPr>
          <w:rFonts w:ascii="Times New Roman" w:eastAsia="Times New Roman" w:hAnsi="Times New Roman" w:cs="Times New Roman"/>
          <w:sz w:val="24"/>
          <w:szCs w:val="24"/>
          <w:lang w:val="hu-HU"/>
        </w:rPr>
        <w:t xml:space="preserve"> index</w:t>
      </w:r>
      <w:r w:rsidR="000F0115">
        <w:rPr>
          <w:rFonts w:ascii="Times New Roman" w:eastAsia="Times New Roman" w:hAnsi="Times New Roman" w:cs="Times New Roman"/>
          <w:sz w:val="24"/>
          <w:szCs w:val="24"/>
          <w:lang w:val="hu-HU"/>
        </w:rPr>
        <w:t xml:space="preserve"> és az egyedi részvény hozama között, melyet </w:t>
      </w:r>
      <w:r w:rsidR="000F0115">
        <w:rPr>
          <w:rFonts w:ascii="Times New Roman" w:eastAsia="Times New Roman" w:hAnsi="Times New Roman" w:cs="Times New Roman"/>
          <w:sz w:val="24"/>
          <w:szCs w:val="24"/>
          <w:lang w:val="hu-HU"/>
        </w:rPr>
        <w:sym w:font="Symbol" w:char="F061"/>
      </w:r>
      <w:r w:rsidR="000F0115">
        <w:rPr>
          <w:rFonts w:ascii="Times New Roman" w:eastAsia="Times New Roman" w:hAnsi="Times New Roman" w:cs="Times New Roman"/>
          <w:sz w:val="24"/>
          <w:szCs w:val="24"/>
          <w:lang w:val="hu-HU"/>
        </w:rPr>
        <w:t xml:space="preserve"> és ß reprezentál. Ezekkel a paraméterekkel az eseményablakban is kiszámolhatjuk, hogy mennyi lenne az elvárt hozama adott részvényünknek azt feltételezve, hogy a piaci hozamokat már ismerjük. Ezt meg is tettük mindegyik részvényünkre.</w:t>
      </w:r>
    </w:p>
    <w:p w14:paraId="4C1D5F36" w14:textId="77777777" w:rsidR="0078288D" w:rsidRDefault="0078288D" w:rsidP="00B83CD3">
      <w:pPr>
        <w:spacing w:line="360" w:lineRule="auto"/>
        <w:jc w:val="both"/>
        <w:rPr>
          <w:rFonts w:ascii="Times New Roman" w:eastAsia="Times New Roman" w:hAnsi="Times New Roman" w:cs="Times New Roman"/>
          <w:sz w:val="24"/>
          <w:szCs w:val="24"/>
          <w:lang w:val="hu-HU"/>
        </w:rPr>
      </w:pPr>
    </w:p>
    <w:p w14:paraId="4C1D5F37" w14:textId="77777777" w:rsidR="0078288D" w:rsidRDefault="0078288D" w:rsidP="00B83CD3">
      <w:pPr>
        <w:spacing w:line="360" w:lineRule="auto"/>
        <w:jc w:val="both"/>
        <w:rPr>
          <w:rFonts w:ascii="Times New Roman" w:eastAsia="Times New Roman" w:hAnsi="Times New Roman" w:cs="Times New Roman"/>
          <w:b/>
          <w:sz w:val="24"/>
          <w:szCs w:val="24"/>
          <w:lang w:val="hu-HU"/>
        </w:rPr>
      </w:pPr>
      <w:r w:rsidRPr="0078288D">
        <w:rPr>
          <w:rFonts w:ascii="Times New Roman" w:eastAsia="Times New Roman" w:hAnsi="Times New Roman" w:cs="Times New Roman"/>
          <w:b/>
          <w:sz w:val="24"/>
          <w:szCs w:val="24"/>
          <w:lang w:val="hu-HU"/>
        </w:rPr>
        <w:t>3. Az abnormális hozamok és a kumulált abnormális hozamok számszer</w:t>
      </w:r>
      <w:r>
        <w:rPr>
          <w:rFonts w:ascii="Times New Roman" w:eastAsia="Times New Roman" w:hAnsi="Times New Roman" w:cs="Times New Roman"/>
          <w:b/>
          <w:sz w:val="24"/>
          <w:szCs w:val="24"/>
          <w:lang w:val="hu-HU"/>
        </w:rPr>
        <w:t>űsítése</w:t>
      </w:r>
    </w:p>
    <w:p w14:paraId="4C1D5F38" w14:textId="77777777" w:rsidR="0078288D" w:rsidRDefault="0078288D" w:rsidP="00B83CD3">
      <w:pPr>
        <w:spacing w:line="360" w:lineRule="auto"/>
        <w:jc w:val="both"/>
        <w:rPr>
          <w:rFonts w:ascii="Times New Roman" w:eastAsia="Times New Roman" w:hAnsi="Times New Roman" w:cs="Times New Roman"/>
          <w:sz w:val="24"/>
          <w:szCs w:val="24"/>
          <w:lang w:val="hu-HU"/>
        </w:rPr>
      </w:pPr>
      <w:r>
        <w:rPr>
          <w:rFonts w:ascii="Times New Roman" w:eastAsia="Times New Roman" w:hAnsi="Times New Roman" w:cs="Times New Roman"/>
          <w:sz w:val="24"/>
          <w:szCs w:val="24"/>
          <w:lang w:val="hu-HU"/>
        </w:rPr>
        <w:t>Az előző pontban alkalmazott módszerrel tehát minden vállalatunk esetében az eseményablak napjaira elvárt napi effektív hozamokat számoltunk. Ezek differenciája a ténylegesen ezeken a napokon tapasztalt hozamokkal adják meg a napi abnormális hozamokat</w:t>
      </w:r>
      <w:r w:rsidR="00073B00">
        <w:rPr>
          <w:rFonts w:ascii="Times New Roman" w:eastAsia="Times New Roman" w:hAnsi="Times New Roman" w:cs="Times New Roman"/>
          <w:sz w:val="24"/>
          <w:szCs w:val="24"/>
          <w:lang w:val="hu-HU"/>
        </w:rPr>
        <w:t xml:space="preserve"> (e_star = tényleges hozam – várt hozam)</w:t>
      </w:r>
      <w:r>
        <w:rPr>
          <w:rFonts w:ascii="Times New Roman" w:eastAsia="Times New Roman" w:hAnsi="Times New Roman" w:cs="Times New Roman"/>
          <w:sz w:val="24"/>
          <w:szCs w:val="24"/>
          <w:lang w:val="hu-HU"/>
        </w:rPr>
        <w:t>. Ezeket kumulálva kapjuk értelemszerűen az eseményablakra vonatkozó kumulált abnormális hozamokat</w:t>
      </w:r>
      <w:r w:rsidR="00162729">
        <w:rPr>
          <w:rFonts w:ascii="Times New Roman" w:eastAsia="Times New Roman" w:hAnsi="Times New Roman" w:cs="Times New Roman"/>
          <w:sz w:val="24"/>
          <w:szCs w:val="24"/>
          <w:lang w:val="hu-HU"/>
        </w:rPr>
        <w:t xml:space="preserve"> (CAR)</w:t>
      </w:r>
      <w:r>
        <w:rPr>
          <w:rFonts w:ascii="Times New Roman" w:eastAsia="Times New Roman" w:hAnsi="Times New Roman" w:cs="Times New Roman"/>
          <w:sz w:val="24"/>
          <w:szCs w:val="24"/>
          <w:lang w:val="hu-HU"/>
        </w:rPr>
        <w:t xml:space="preserve"> rendre vállalatonként.</w:t>
      </w:r>
      <w:r w:rsidR="00B25552">
        <w:rPr>
          <w:rFonts w:ascii="Times New Roman" w:eastAsia="Times New Roman" w:hAnsi="Times New Roman" w:cs="Times New Roman"/>
          <w:sz w:val="24"/>
          <w:szCs w:val="24"/>
          <w:lang w:val="hu-HU"/>
        </w:rPr>
        <w:t xml:space="preserve"> Az alábbi táblázatban foglaltuk össze ezeket az eredményeket.</w:t>
      </w:r>
    </w:p>
    <w:p w14:paraId="4C1D5F39" w14:textId="77777777" w:rsidR="00976CEB" w:rsidRDefault="00976CEB" w:rsidP="00B83CD3">
      <w:pPr>
        <w:spacing w:line="360" w:lineRule="auto"/>
        <w:jc w:val="both"/>
        <w:rPr>
          <w:rFonts w:ascii="Times New Roman" w:eastAsia="Times New Roman" w:hAnsi="Times New Roman" w:cs="Times New Roman"/>
          <w:sz w:val="24"/>
          <w:szCs w:val="24"/>
          <w:lang w:val="hu-HU"/>
        </w:rPr>
      </w:pPr>
      <w:r w:rsidRPr="00976CEB">
        <w:rPr>
          <w:noProof/>
        </w:rPr>
        <w:lastRenderedPageBreak/>
        <w:drawing>
          <wp:inline distT="0" distB="0" distL="0" distR="0" wp14:anchorId="4C1D5F51" wp14:editId="4C1D5F52">
            <wp:extent cx="5972810" cy="1143126"/>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1143126"/>
                    </a:xfrm>
                    <a:prstGeom prst="rect">
                      <a:avLst/>
                    </a:prstGeom>
                    <a:noFill/>
                    <a:ln>
                      <a:noFill/>
                    </a:ln>
                  </pic:spPr>
                </pic:pic>
              </a:graphicData>
            </a:graphic>
          </wp:inline>
        </w:drawing>
      </w:r>
    </w:p>
    <w:p w14:paraId="4C1D5F3A" w14:textId="77777777" w:rsidR="00DA7E2E" w:rsidRDefault="00DA7E2E" w:rsidP="00DA7E2E">
      <w:pPr>
        <w:spacing w:line="360" w:lineRule="auto"/>
        <w:jc w:val="both"/>
        <w:rPr>
          <w:rFonts w:ascii="Times New Roman" w:eastAsia="Times New Roman" w:hAnsi="Times New Roman" w:cs="Times New Roman"/>
          <w:b/>
          <w:sz w:val="24"/>
          <w:szCs w:val="24"/>
          <w:lang w:val="hu-HU"/>
        </w:rPr>
      </w:pPr>
      <w:r>
        <w:rPr>
          <w:rFonts w:ascii="Times New Roman" w:eastAsia="Times New Roman" w:hAnsi="Times New Roman" w:cs="Times New Roman"/>
          <w:b/>
          <w:sz w:val="24"/>
          <w:szCs w:val="24"/>
          <w:lang w:val="hu-HU"/>
        </w:rPr>
        <w:t>4</w:t>
      </w:r>
      <w:r w:rsidRPr="0078288D">
        <w:rPr>
          <w:rFonts w:ascii="Times New Roman" w:eastAsia="Times New Roman" w:hAnsi="Times New Roman" w:cs="Times New Roman"/>
          <w:b/>
          <w:sz w:val="24"/>
          <w:szCs w:val="24"/>
          <w:lang w:val="hu-HU"/>
        </w:rPr>
        <w:t xml:space="preserve">. </w:t>
      </w:r>
      <w:r>
        <w:rPr>
          <w:rFonts w:ascii="Times New Roman" w:eastAsia="Times New Roman" w:hAnsi="Times New Roman" w:cs="Times New Roman"/>
          <w:b/>
          <w:sz w:val="24"/>
          <w:szCs w:val="24"/>
          <w:lang w:val="hu-HU"/>
        </w:rPr>
        <w:t>Eloszlás számítás és hipotézisvizsgálat</w:t>
      </w:r>
    </w:p>
    <w:p w14:paraId="4C1D5F3B" w14:textId="77777777" w:rsidR="00DA7E2E" w:rsidRDefault="00DA7E2E" w:rsidP="00DA7E2E">
      <w:pPr>
        <w:spacing w:line="360" w:lineRule="auto"/>
        <w:jc w:val="both"/>
        <w:rPr>
          <w:rFonts w:ascii="Times New Roman" w:eastAsia="Times New Roman" w:hAnsi="Times New Roman" w:cs="Times New Roman"/>
          <w:sz w:val="24"/>
          <w:szCs w:val="24"/>
          <w:lang w:val="hu-HU"/>
        </w:rPr>
      </w:pPr>
      <w:r>
        <w:rPr>
          <w:rFonts w:ascii="Times New Roman" w:eastAsia="Times New Roman" w:hAnsi="Times New Roman" w:cs="Times New Roman"/>
          <w:sz w:val="24"/>
          <w:szCs w:val="24"/>
          <w:lang w:val="hu-HU"/>
        </w:rPr>
        <w:t>A kumulált abnormális hozamokból kiindulva tudjuk a hozamok eloszlását vizsgálni</w:t>
      </w:r>
      <w:r w:rsidR="00476B4D">
        <w:rPr>
          <w:rFonts w:ascii="Times New Roman" w:eastAsia="Times New Roman" w:hAnsi="Times New Roman" w:cs="Times New Roman"/>
          <w:sz w:val="24"/>
          <w:szCs w:val="24"/>
          <w:lang w:val="hu-HU"/>
        </w:rPr>
        <w:t>.</w:t>
      </w:r>
      <w:r>
        <w:rPr>
          <w:rFonts w:ascii="Times New Roman" w:eastAsia="Times New Roman" w:hAnsi="Times New Roman" w:cs="Times New Roman"/>
          <w:sz w:val="24"/>
          <w:szCs w:val="24"/>
          <w:lang w:val="hu-HU"/>
        </w:rPr>
        <w:t xml:space="preserve"> </w:t>
      </w:r>
      <w:r w:rsidR="00476B4D">
        <w:rPr>
          <w:rFonts w:ascii="Times New Roman" w:eastAsia="Times New Roman" w:hAnsi="Times New Roman" w:cs="Times New Roman"/>
          <w:sz w:val="24"/>
          <w:szCs w:val="24"/>
          <w:lang w:val="hu-HU"/>
        </w:rPr>
        <w:t>A lineáris regresszió futtatásakor egy vállalat esetében minden napra a tanítási időszakban kaptunk egy hibatagot, mely az aznapi tényleges hozam és a regresszió által becsült hozamunk különbsége. Ezeknek kiszámítható a varianciája (és mellesleg ennek a gyöke megadja a hibatagok szórását). Az órán is tanult képlettel, mátrixszorzásuk útján - felhasználva a piaci hozamokat a tanulási időszakból és az eseményablakból, valamint a kapott varianciáját a hibatagoknak – megadhatjuk a V</w:t>
      </w:r>
      <w:r w:rsidR="00476B4D" w:rsidRPr="00476B4D">
        <w:rPr>
          <w:rFonts w:ascii="Times New Roman" w:eastAsia="Times New Roman" w:hAnsi="Times New Roman" w:cs="Times New Roman"/>
          <w:sz w:val="24"/>
          <w:szCs w:val="24"/>
          <w:vertAlign w:val="subscript"/>
          <w:lang w:val="hu-HU"/>
        </w:rPr>
        <w:t>i</w:t>
      </w:r>
      <w:r w:rsidR="00476B4D">
        <w:rPr>
          <w:rFonts w:ascii="Times New Roman" w:eastAsia="Times New Roman" w:hAnsi="Times New Roman" w:cs="Times New Roman"/>
          <w:sz w:val="24"/>
          <w:szCs w:val="24"/>
          <w:lang w:val="hu-HU"/>
        </w:rPr>
        <w:t xml:space="preserve"> mátrixot. E</w:t>
      </w:r>
      <w:r w:rsidR="006E7B40">
        <w:rPr>
          <w:rFonts w:ascii="Times New Roman" w:eastAsia="Times New Roman" w:hAnsi="Times New Roman" w:cs="Times New Roman"/>
          <w:sz w:val="24"/>
          <w:szCs w:val="24"/>
          <w:lang w:val="hu-HU"/>
        </w:rPr>
        <w:t>z így önmagában az eseményablak abnormális hozamainak egyfajta kovariancia mátrixaként funkcionál, azonban mi a kumulált abnormális hozamokra szeretnénk feltételezéseket tenni, ezért szükségünk van még egy kumuláló vektorokra is (1 és 0 értékekből álló vektorok, attól függően vált az 1-esek sorozata 0-ra, hogy hányadik kumulálási lépést akarjuk jellemezni az eseményablakból). A V</w:t>
      </w:r>
      <w:r w:rsidR="006E7B40" w:rsidRPr="00476B4D">
        <w:rPr>
          <w:rFonts w:ascii="Times New Roman" w:eastAsia="Times New Roman" w:hAnsi="Times New Roman" w:cs="Times New Roman"/>
          <w:sz w:val="24"/>
          <w:szCs w:val="24"/>
          <w:vertAlign w:val="subscript"/>
          <w:lang w:val="hu-HU"/>
        </w:rPr>
        <w:t>i</w:t>
      </w:r>
      <w:r w:rsidR="006E7B40">
        <w:rPr>
          <w:rFonts w:ascii="Times New Roman" w:eastAsia="Times New Roman" w:hAnsi="Times New Roman" w:cs="Times New Roman"/>
          <w:sz w:val="24"/>
          <w:szCs w:val="24"/>
          <w:lang w:val="hu-HU"/>
        </w:rPr>
        <w:t xml:space="preserve"> mátrixot és a kumuláló vektorokat (minden eseményablak naphoz tartozik egy vektor) összeszorozva kaphatunk egy újabb vektort, amely lényegében a kumulált abnormális hozam varianciáját adja meg (VAR(CAR)) az eseményablak napjaira rendre. Ezután az adott napi kumulált abnormális hozam értéket és az adott napi variancia gyökét (azaz az adott napi szórást) elosztva kaphatjuk az SCAR értékeket. Ez az SCAR érték azt mutatja meg, hogy az a kumulált abnormális hozam hány szórásnyira tér el a várható értéktől, és ez lesz a teszt-statisztikánk a hipoté</w:t>
      </w:r>
      <w:r w:rsidR="00A31516">
        <w:rPr>
          <w:rFonts w:ascii="Times New Roman" w:eastAsia="Times New Roman" w:hAnsi="Times New Roman" w:cs="Times New Roman"/>
          <w:sz w:val="24"/>
          <w:szCs w:val="24"/>
          <w:lang w:val="hu-HU"/>
        </w:rPr>
        <w:t>zisvizsgálatban.</w:t>
      </w:r>
    </w:p>
    <w:p w14:paraId="4C1D5F3C" w14:textId="77777777" w:rsidR="006E7B40" w:rsidRDefault="006E7B40" w:rsidP="00DA7E2E">
      <w:pPr>
        <w:spacing w:line="360" w:lineRule="auto"/>
        <w:jc w:val="both"/>
        <w:rPr>
          <w:rFonts w:ascii="Times New Roman" w:eastAsia="Times New Roman" w:hAnsi="Times New Roman" w:cs="Times New Roman"/>
          <w:sz w:val="24"/>
          <w:szCs w:val="24"/>
          <w:lang w:val="hu-HU"/>
        </w:rPr>
      </w:pPr>
      <w:r>
        <w:rPr>
          <w:rFonts w:ascii="Times New Roman" w:eastAsia="Times New Roman" w:hAnsi="Times New Roman" w:cs="Times New Roman"/>
          <w:sz w:val="24"/>
          <w:szCs w:val="24"/>
          <w:lang w:val="hu-HU"/>
        </w:rPr>
        <w:t>Az alapvető hipotézisünk ugyebár az, hogy nincs abnormális hozam, azaz, hogy a kumulált abnormális hozam 0.</w:t>
      </w:r>
      <w:r w:rsidR="00A31516">
        <w:rPr>
          <w:rFonts w:ascii="Times New Roman" w:eastAsia="Times New Roman" w:hAnsi="Times New Roman" w:cs="Times New Roman"/>
          <w:sz w:val="24"/>
          <w:szCs w:val="24"/>
          <w:lang w:val="hu-HU"/>
        </w:rPr>
        <w:t xml:space="preserve"> Ehhez </w:t>
      </w:r>
      <w:r w:rsidR="00EF6796">
        <w:rPr>
          <w:rFonts w:ascii="Times New Roman" w:eastAsia="Times New Roman" w:hAnsi="Times New Roman" w:cs="Times New Roman"/>
          <w:sz w:val="24"/>
          <w:szCs w:val="24"/>
          <w:lang w:val="hu-HU"/>
        </w:rPr>
        <w:t xml:space="preserve">az SCAR </w:t>
      </w:r>
      <w:r w:rsidR="00A31516">
        <w:rPr>
          <w:rFonts w:ascii="Times New Roman" w:eastAsia="Times New Roman" w:hAnsi="Times New Roman" w:cs="Times New Roman"/>
          <w:sz w:val="24"/>
          <w:szCs w:val="24"/>
          <w:lang w:val="hu-HU"/>
        </w:rPr>
        <w:t>megadta a teszt-statisztikánkat adott részvény</w:t>
      </w:r>
      <w:r w:rsidR="00C82734">
        <w:rPr>
          <w:rFonts w:ascii="Times New Roman" w:eastAsia="Times New Roman" w:hAnsi="Times New Roman" w:cs="Times New Roman"/>
          <w:sz w:val="24"/>
          <w:szCs w:val="24"/>
          <w:lang w:val="hu-HU"/>
        </w:rPr>
        <w:t>hez</w:t>
      </w:r>
      <w:r w:rsidR="00A31516">
        <w:rPr>
          <w:rFonts w:ascii="Times New Roman" w:eastAsia="Times New Roman" w:hAnsi="Times New Roman" w:cs="Times New Roman"/>
          <w:sz w:val="24"/>
          <w:szCs w:val="24"/>
          <w:lang w:val="hu-HU"/>
        </w:rPr>
        <w:t xml:space="preserve"> adott napra, amint már említettük. Ezeket önmagukban is kiértékelhetjük, abban az esetben</w:t>
      </w:r>
      <w:r w:rsidR="003B2DD7">
        <w:rPr>
          <w:rFonts w:ascii="Times New Roman" w:eastAsia="Times New Roman" w:hAnsi="Times New Roman" w:cs="Times New Roman"/>
          <w:sz w:val="24"/>
          <w:szCs w:val="24"/>
          <w:lang w:val="hu-HU"/>
        </w:rPr>
        <w:t>,</w:t>
      </w:r>
      <w:r w:rsidR="00A31516">
        <w:rPr>
          <w:rFonts w:ascii="Times New Roman" w:eastAsia="Times New Roman" w:hAnsi="Times New Roman" w:cs="Times New Roman"/>
          <w:sz w:val="24"/>
          <w:szCs w:val="24"/>
          <w:lang w:val="hu-HU"/>
        </w:rPr>
        <w:t xml:space="preserve"> ha meghatározunk egy kritikus értéket. Ha ezt a kritikus értéket átlép</w:t>
      </w:r>
      <w:r w:rsidR="00EF6796">
        <w:rPr>
          <w:rFonts w:ascii="Times New Roman" w:eastAsia="Times New Roman" w:hAnsi="Times New Roman" w:cs="Times New Roman"/>
          <w:sz w:val="24"/>
          <w:szCs w:val="24"/>
          <w:lang w:val="hu-HU"/>
        </w:rPr>
        <w:t>i</w:t>
      </w:r>
      <w:r w:rsidR="00A31516">
        <w:rPr>
          <w:rFonts w:ascii="Times New Roman" w:eastAsia="Times New Roman" w:hAnsi="Times New Roman" w:cs="Times New Roman"/>
          <w:sz w:val="24"/>
          <w:szCs w:val="24"/>
          <w:lang w:val="hu-HU"/>
        </w:rPr>
        <w:t xml:space="preserve"> a teszt-statisztikánk (abszolút értékben), akkor a hipotézisünk megbukott, van szignifikáns kumulált abnormális hozam. Ha ez alatt maradt</w:t>
      </w:r>
      <w:r w:rsidR="00EF6796">
        <w:rPr>
          <w:rFonts w:ascii="Times New Roman" w:eastAsia="Times New Roman" w:hAnsi="Times New Roman" w:cs="Times New Roman"/>
          <w:sz w:val="24"/>
          <w:szCs w:val="24"/>
          <w:lang w:val="hu-HU"/>
        </w:rPr>
        <w:t>,</w:t>
      </w:r>
      <w:r w:rsidR="00A31516">
        <w:rPr>
          <w:rFonts w:ascii="Times New Roman" w:eastAsia="Times New Roman" w:hAnsi="Times New Roman" w:cs="Times New Roman"/>
          <w:sz w:val="24"/>
          <w:szCs w:val="24"/>
          <w:lang w:val="hu-HU"/>
        </w:rPr>
        <w:t xml:space="preserve"> nem beszélhetünk szignifikáns kumulált abnormális hozamról. Természetesen ez értelmezhető szignifikancia szintek </w:t>
      </w:r>
      <w:r w:rsidR="00EF6796">
        <w:rPr>
          <w:rFonts w:ascii="Times New Roman" w:eastAsia="Times New Roman" w:hAnsi="Times New Roman" w:cs="Times New Roman"/>
          <w:sz w:val="24"/>
          <w:szCs w:val="24"/>
          <w:lang w:val="hu-HU"/>
        </w:rPr>
        <w:t>bevezetésével</w:t>
      </w:r>
      <w:r w:rsidR="00A31516">
        <w:rPr>
          <w:rFonts w:ascii="Times New Roman" w:eastAsia="Times New Roman" w:hAnsi="Times New Roman" w:cs="Times New Roman"/>
          <w:sz w:val="24"/>
          <w:szCs w:val="24"/>
          <w:lang w:val="hu-HU"/>
        </w:rPr>
        <w:t xml:space="preserve"> is, az SCAR értékből számolhatunk p-értéket egy egyszerű egyoldali t-próba útján, ahol a szabadságfokot a tanítási időszak minta elemszáma adja.</w:t>
      </w:r>
      <w:r w:rsidR="00AA20D9">
        <w:rPr>
          <w:rFonts w:ascii="Times New Roman" w:eastAsia="Times New Roman" w:hAnsi="Times New Roman" w:cs="Times New Roman"/>
          <w:sz w:val="24"/>
          <w:szCs w:val="24"/>
          <w:lang w:val="hu-HU"/>
        </w:rPr>
        <w:t xml:space="preserve"> A p-értékeket a szokásos statisztikai értelmezésben vizsgálhatjuk: amennyiben ezek egy </w:t>
      </w:r>
      <w:r w:rsidR="00AA20D9">
        <w:rPr>
          <w:rFonts w:ascii="Times New Roman" w:eastAsia="Times New Roman" w:hAnsi="Times New Roman" w:cs="Times New Roman"/>
          <w:sz w:val="24"/>
          <w:szCs w:val="24"/>
          <w:lang w:val="hu-HU"/>
        </w:rPr>
        <w:lastRenderedPageBreak/>
        <w:t xml:space="preserve">bizonyos választott </w:t>
      </w:r>
      <w:r w:rsidR="00AA20D9">
        <w:rPr>
          <w:rFonts w:ascii="Times New Roman" w:eastAsia="Times New Roman" w:hAnsi="Times New Roman" w:cs="Times New Roman"/>
          <w:sz w:val="24"/>
          <w:szCs w:val="24"/>
          <w:lang w:val="hu-HU"/>
        </w:rPr>
        <w:sym w:font="Symbol" w:char="F064"/>
      </w:r>
      <w:r w:rsidR="00AA20D9">
        <w:rPr>
          <w:rFonts w:ascii="Times New Roman" w:eastAsia="Times New Roman" w:hAnsi="Times New Roman" w:cs="Times New Roman"/>
          <w:sz w:val="24"/>
          <w:szCs w:val="24"/>
          <w:lang w:val="hu-HU"/>
        </w:rPr>
        <w:t xml:space="preserve"> (általában 1% vagy 5%) szint alatt vannak, akkor szignifikáns eredményt</w:t>
      </w:r>
      <w:r w:rsidR="003B2DD7">
        <w:rPr>
          <w:rFonts w:ascii="Times New Roman" w:eastAsia="Times New Roman" w:hAnsi="Times New Roman" w:cs="Times New Roman"/>
          <w:sz w:val="24"/>
          <w:szCs w:val="24"/>
          <w:lang w:val="hu-HU"/>
        </w:rPr>
        <w:t xml:space="preserve"> és a null-</w:t>
      </w:r>
      <w:r w:rsidR="00AA20D9">
        <w:rPr>
          <w:rFonts w:ascii="Times New Roman" w:eastAsia="Times New Roman" w:hAnsi="Times New Roman" w:cs="Times New Roman"/>
          <w:sz w:val="24"/>
          <w:szCs w:val="24"/>
          <w:lang w:val="hu-HU"/>
        </w:rPr>
        <w:t>hipotézis elvetését állapíthatjuk meg.</w:t>
      </w:r>
    </w:p>
    <w:p w14:paraId="4C1D5F3D" w14:textId="77777777" w:rsidR="003B2DD7" w:rsidRDefault="003B2DD7" w:rsidP="00DA7E2E">
      <w:pPr>
        <w:spacing w:line="360" w:lineRule="auto"/>
        <w:jc w:val="both"/>
        <w:rPr>
          <w:rFonts w:ascii="Times New Roman" w:eastAsia="Times New Roman" w:hAnsi="Times New Roman" w:cs="Times New Roman"/>
          <w:sz w:val="24"/>
          <w:szCs w:val="24"/>
          <w:lang w:val="hu-HU"/>
        </w:rPr>
      </w:pPr>
      <w:r>
        <w:rPr>
          <w:rFonts w:ascii="Times New Roman" w:eastAsia="Times New Roman" w:hAnsi="Times New Roman" w:cs="Times New Roman"/>
          <w:sz w:val="24"/>
          <w:szCs w:val="24"/>
          <w:lang w:val="hu-HU"/>
        </w:rPr>
        <w:t>Az eredményeket vállalatonként az alábbi táblázatban tüntettük fel. Színeztük azokat az eseteket, ahol az abnormális hozam szignifikáns volt (világosabb színnel a csak 95%-on, sötétebb színnel a 99%-on szignifikáns eseteket). Láthatjuk, hogy mindegyik cég eseményablakában észlelhető kumulált abnormális hozam szignifikánsnak tekinthető. A null-hipotésünket, miszerint a Brexit</w:t>
      </w:r>
      <w:r w:rsidR="00AA7208">
        <w:rPr>
          <w:rFonts w:ascii="Times New Roman" w:eastAsia="Times New Roman" w:hAnsi="Times New Roman" w:cs="Times New Roman"/>
          <w:sz w:val="24"/>
          <w:szCs w:val="24"/>
          <w:lang w:val="hu-HU"/>
        </w:rPr>
        <w:t xml:space="preserve"> bejelentésé</w:t>
      </w:r>
      <w:r>
        <w:rPr>
          <w:rFonts w:ascii="Times New Roman" w:eastAsia="Times New Roman" w:hAnsi="Times New Roman" w:cs="Times New Roman"/>
          <w:sz w:val="24"/>
          <w:szCs w:val="24"/>
          <w:lang w:val="hu-HU"/>
        </w:rPr>
        <w:t>nek nem volt hatása e cégek részvényárfolyamára (egyenként, egymástól függetlenül vizsgálva ezeket)</w:t>
      </w:r>
      <w:r w:rsidR="00296AED">
        <w:rPr>
          <w:rFonts w:ascii="Times New Roman" w:eastAsia="Times New Roman" w:hAnsi="Times New Roman" w:cs="Times New Roman"/>
          <w:sz w:val="24"/>
          <w:szCs w:val="24"/>
          <w:lang w:val="hu-HU"/>
        </w:rPr>
        <w:t xml:space="preserve"> elvet</w:t>
      </w:r>
      <w:r w:rsidR="00134375">
        <w:rPr>
          <w:rFonts w:ascii="Times New Roman" w:eastAsia="Times New Roman" w:hAnsi="Times New Roman" w:cs="Times New Roman"/>
          <w:sz w:val="24"/>
          <w:szCs w:val="24"/>
          <w:lang w:val="hu-HU"/>
        </w:rPr>
        <w:t>jük, mert tisztán látszik, hogy az esemény abnormális hozamot generált.</w:t>
      </w:r>
    </w:p>
    <w:p w14:paraId="4C1D5F3E" w14:textId="77777777" w:rsidR="00AA7208" w:rsidRDefault="00134375" w:rsidP="00AA7208">
      <w:pPr>
        <w:spacing w:line="360" w:lineRule="auto"/>
        <w:jc w:val="both"/>
        <w:rPr>
          <w:rFonts w:ascii="Times New Roman" w:eastAsia="Times New Roman" w:hAnsi="Times New Roman" w:cs="Times New Roman"/>
          <w:sz w:val="24"/>
          <w:szCs w:val="24"/>
          <w:lang w:val="hu-HU"/>
        </w:rPr>
      </w:pPr>
      <w:r w:rsidRPr="00134375">
        <w:rPr>
          <w:noProof/>
        </w:rPr>
        <w:drawing>
          <wp:inline distT="0" distB="0" distL="0" distR="0" wp14:anchorId="4C1D5F53" wp14:editId="4C1D5F54">
            <wp:extent cx="5972810" cy="1142069"/>
            <wp:effectExtent l="0" t="0" r="0" b="127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1142069"/>
                    </a:xfrm>
                    <a:prstGeom prst="rect">
                      <a:avLst/>
                    </a:prstGeom>
                    <a:noFill/>
                    <a:ln>
                      <a:noFill/>
                    </a:ln>
                  </pic:spPr>
                </pic:pic>
              </a:graphicData>
            </a:graphic>
          </wp:inline>
        </w:drawing>
      </w:r>
    </w:p>
    <w:p w14:paraId="4C1D5F3F" w14:textId="77777777" w:rsidR="00AA7208" w:rsidRDefault="00AA7208" w:rsidP="00AA7208">
      <w:pPr>
        <w:spacing w:line="360" w:lineRule="auto"/>
        <w:jc w:val="both"/>
        <w:rPr>
          <w:rFonts w:ascii="Times New Roman" w:eastAsia="Times New Roman" w:hAnsi="Times New Roman" w:cs="Times New Roman"/>
          <w:sz w:val="24"/>
          <w:szCs w:val="24"/>
          <w:lang w:val="hu-HU"/>
        </w:rPr>
      </w:pPr>
    </w:p>
    <w:p w14:paraId="4C1D5F40" w14:textId="77777777" w:rsidR="00AA7208" w:rsidRDefault="00AA7208" w:rsidP="00AA7208">
      <w:pPr>
        <w:spacing w:line="360" w:lineRule="auto"/>
        <w:jc w:val="both"/>
        <w:rPr>
          <w:rFonts w:ascii="Times New Roman" w:eastAsia="Times New Roman" w:hAnsi="Times New Roman" w:cs="Times New Roman"/>
          <w:b/>
          <w:sz w:val="24"/>
          <w:szCs w:val="24"/>
          <w:lang w:val="hu-HU"/>
        </w:rPr>
      </w:pPr>
      <w:r>
        <w:rPr>
          <w:rFonts w:ascii="Times New Roman" w:eastAsia="Times New Roman" w:hAnsi="Times New Roman" w:cs="Times New Roman"/>
          <w:b/>
          <w:sz w:val="24"/>
          <w:szCs w:val="24"/>
          <w:lang w:val="hu-HU"/>
        </w:rPr>
        <w:t>5. Az eredmények interpretálása</w:t>
      </w:r>
    </w:p>
    <w:p w14:paraId="4C1D5F41" w14:textId="77777777" w:rsidR="00AA7208" w:rsidRDefault="00AA7208" w:rsidP="00AA7208">
      <w:pPr>
        <w:spacing w:line="360" w:lineRule="auto"/>
        <w:jc w:val="both"/>
        <w:rPr>
          <w:rFonts w:ascii="Times New Roman" w:eastAsia="Times New Roman" w:hAnsi="Times New Roman" w:cs="Times New Roman"/>
          <w:sz w:val="24"/>
          <w:szCs w:val="24"/>
          <w:lang w:val="hu-HU"/>
        </w:rPr>
      </w:pPr>
      <w:r>
        <w:rPr>
          <w:rFonts w:ascii="Times New Roman" w:eastAsia="Times New Roman" w:hAnsi="Times New Roman" w:cs="Times New Roman"/>
          <w:sz w:val="24"/>
          <w:szCs w:val="24"/>
          <w:lang w:val="hu-HU"/>
        </w:rPr>
        <w:t xml:space="preserve">Az eredmények interpretálását grafikus vizsgálattal kezdtük: minden cégre megnéztük az abnormális hozamok és a kumulált abnormális hozamok alakulását. Az SCAR értékek abszolút értékét vizsgálva láthatjuk, hogy az EasyJet esetében kaptunk a legszignifikánsabb kumulált abnormális hozam értékeket, így ennek az ábráit osztjuk most meg alább. Az első ábrán az abnormális hozamok, míg a másodikon a kumulált abnormális hozam alakulása látható az EasyJet vállalat esetében az eseményablakot vizsgálva. Láthatjuk, hogy valóban jelentős abnormális hozamokat </w:t>
      </w:r>
      <w:r w:rsidR="00EF6796">
        <w:rPr>
          <w:rFonts w:ascii="Times New Roman" w:eastAsia="Times New Roman" w:hAnsi="Times New Roman" w:cs="Times New Roman"/>
          <w:sz w:val="24"/>
          <w:szCs w:val="24"/>
          <w:lang w:val="hu-HU"/>
        </w:rPr>
        <w:t>kaptunk</w:t>
      </w:r>
      <w:r>
        <w:rPr>
          <w:rFonts w:ascii="Times New Roman" w:eastAsia="Times New Roman" w:hAnsi="Times New Roman" w:cs="Times New Roman"/>
          <w:sz w:val="24"/>
          <w:szCs w:val="24"/>
          <w:lang w:val="hu-HU"/>
        </w:rPr>
        <w:t xml:space="preserve"> ennek a cégnek az esetében, 6 nap alatt csaknem 30%-ot esett a részvényárfolyama.</w:t>
      </w:r>
    </w:p>
    <w:p w14:paraId="4C1D5F42" w14:textId="77777777" w:rsidR="00AA7208" w:rsidRDefault="00AA7208" w:rsidP="00AA7208">
      <w:pPr>
        <w:spacing w:after="120" w:line="360" w:lineRule="auto"/>
        <w:jc w:val="center"/>
        <w:rPr>
          <w:noProof/>
          <w:lang w:val="en-US"/>
        </w:rPr>
      </w:pPr>
      <w:r>
        <w:rPr>
          <w:noProof/>
          <w:lang w:val="en-US"/>
        </w:rPr>
        <w:drawing>
          <wp:inline distT="0" distB="0" distL="0" distR="0" wp14:anchorId="4C1D5F55" wp14:editId="4C1D5F56">
            <wp:extent cx="2753156" cy="255600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3156" cy="2556000"/>
                    </a:xfrm>
                    <a:prstGeom prst="rect">
                      <a:avLst/>
                    </a:prstGeom>
                  </pic:spPr>
                </pic:pic>
              </a:graphicData>
            </a:graphic>
          </wp:inline>
        </w:drawing>
      </w:r>
      <w:r>
        <w:rPr>
          <w:noProof/>
          <w:lang w:val="en-US"/>
        </w:rPr>
        <w:t xml:space="preserve">        </w:t>
      </w:r>
      <w:r>
        <w:rPr>
          <w:noProof/>
          <w:lang w:val="en-US"/>
        </w:rPr>
        <w:drawing>
          <wp:inline distT="0" distB="0" distL="0" distR="0" wp14:anchorId="4C1D5F57" wp14:editId="4C1D5F58">
            <wp:extent cx="2753153" cy="2556000"/>
            <wp:effectExtent l="0" t="0" r="952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3153" cy="2556000"/>
                    </a:xfrm>
                    <a:prstGeom prst="rect">
                      <a:avLst/>
                    </a:prstGeom>
                  </pic:spPr>
                </pic:pic>
              </a:graphicData>
            </a:graphic>
          </wp:inline>
        </w:drawing>
      </w:r>
    </w:p>
    <w:p w14:paraId="4C1D5F43" w14:textId="77777777" w:rsidR="00AA7208" w:rsidRDefault="00AA7208" w:rsidP="00AA7208">
      <w:pPr>
        <w:spacing w:line="360" w:lineRule="auto"/>
        <w:jc w:val="both"/>
        <w:rPr>
          <w:rFonts w:ascii="Times New Roman" w:eastAsia="Times New Roman" w:hAnsi="Times New Roman" w:cs="Times New Roman"/>
          <w:sz w:val="24"/>
          <w:szCs w:val="24"/>
          <w:lang w:val="hu-HU"/>
        </w:rPr>
      </w:pPr>
      <w:r>
        <w:rPr>
          <w:rFonts w:ascii="Times New Roman" w:eastAsia="Times New Roman" w:hAnsi="Times New Roman" w:cs="Times New Roman"/>
          <w:sz w:val="24"/>
          <w:szCs w:val="24"/>
          <w:lang w:val="hu-HU"/>
        </w:rPr>
        <w:lastRenderedPageBreak/>
        <w:t>Már az előző pontban is feltüntettük, hogy minden vállalat esetében szignifikáns abnormális hozamok jelenlété</w:t>
      </w:r>
      <w:r w:rsidR="00EF6796">
        <w:rPr>
          <w:rFonts w:ascii="Times New Roman" w:eastAsia="Times New Roman" w:hAnsi="Times New Roman" w:cs="Times New Roman"/>
          <w:sz w:val="24"/>
          <w:szCs w:val="24"/>
          <w:lang w:val="hu-HU"/>
        </w:rPr>
        <w:t>vel találkozhatunk</w:t>
      </w:r>
      <w:r>
        <w:rPr>
          <w:rFonts w:ascii="Times New Roman" w:eastAsia="Times New Roman" w:hAnsi="Times New Roman" w:cs="Times New Roman"/>
          <w:sz w:val="24"/>
          <w:szCs w:val="24"/>
          <w:lang w:val="hu-HU"/>
        </w:rPr>
        <w:t>. Az</w:t>
      </w:r>
      <w:r w:rsidR="00EF6796">
        <w:rPr>
          <w:rFonts w:ascii="Times New Roman" w:eastAsia="Times New Roman" w:hAnsi="Times New Roman" w:cs="Times New Roman"/>
          <w:sz w:val="24"/>
          <w:szCs w:val="24"/>
          <w:lang w:val="hu-HU"/>
        </w:rPr>
        <w:t xml:space="preserve"> SCAR értékek előjelét</w:t>
      </w:r>
      <w:r>
        <w:rPr>
          <w:rFonts w:ascii="Times New Roman" w:eastAsia="Times New Roman" w:hAnsi="Times New Roman" w:cs="Times New Roman"/>
          <w:sz w:val="24"/>
          <w:szCs w:val="24"/>
          <w:lang w:val="hu-HU"/>
        </w:rPr>
        <w:t xml:space="preserve"> és a grafikus ábrákat egymás mellett vizsgálva azonban egy érdekes jelenséget figyelhetünk meg: ugyan minden cégre szignifikáns abnormális hozamot tapasztalunk, de ezek iránya eltérő. Tehát egyes cégekre másképp hatott a Brexit </w:t>
      </w:r>
      <w:r w:rsidR="002A203C">
        <w:rPr>
          <w:rFonts w:ascii="Times New Roman" w:eastAsia="Times New Roman" w:hAnsi="Times New Roman" w:cs="Times New Roman"/>
          <w:sz w:val="24"/>
          <w:szCs w:val="24"/>
          <w:lang w:val="hu-HU"/>
        </w:rPr>
        <w:t>népszavazás: m</w:t>
      </w:r>
      <w:r>
        <w:rPr>
          <w:rFonts w:ascii="Times New Roman" w:eastAsia="Times New Roman" w:hAnsi="Times New Roman" w:cs="Times New Roman"/>
          <w:sz w:val="24"/>
          <w:szCs w:val="24"/>
          <w:lang w:val="hu-HU"/>
        </w:rPr>
        <w:t xml:space="preserve">íg a </w:t>
      </w:r>
      <w:r w:rsidRPr="00AA7208">
        <w:rPr>
          <w:rFonts w:ascii="Times New Roman" w:eastAsia="Times New Roman" w:hAnsi="Times New Roman" w:cs="Times New Roman"/>
          <w:sz w:val="24"/>
          <w:szCs w:val="24"/>
          <w:lang w:val="hu-HU"/>
        </w:rPr>
        <w:t>Barclays,</w:t>
      </w:r>
      <w:r>
        <w:rPr>
          <w:rFonts w:ascii="Times New Roman" w:eastAsia="Times New Roman" w:hAnsi="Times New Roman" w:cs="Times New Roman"/>
          <w:sz w:val="24"/>
          <w:szCs w:val="24"/>
          <w:lang w:val="hu-HU"/>
        </w:rPr>
        <w:t xml:space="preserve"> EasyJet és</w:t>
      </w:r>
      <w:r w:rsidRPr="00AA7208">
        <w:rPr>
          <w:rFonts w:ascii="Times New Roman" w:eastAsia="Times New Roman" w:hAnsi="Times New Roman" w:cs="Times New Roman"/>
          <w:sz w:val="24"/>
          <w:szCs w:val="24"/>
          <w:lang w:val="hu-HU"/>
        </w:rPr>
        <w:t xml:space="preserve"> Royal Bank of Scotland</w:t>
      </w:r>
      <w:r>
        <w:rPr>
          <w:rFonts w:ascii="Times New Roman" w:eastAsia="Times New Roman" w:hAnsi="Times New Roman" w:cs="Times New Roman"/>
          <w:sz w:val="24"/>
          <w:szCs w:val="24"/>
          <w:lang w:val="hu-HU"/>
        </w:rPr>
        <w:t xml:space="preserve"> cégeknél jelentős negatív hatást láthatunk, addig a</w:t>
      </w:r>
      <w:r w:rsidRPr="00AA7208">
        <w:rPr>
          <w:rFonts w:ascii="Times New Roman" w:eastAsia="Times New Roman" w:hAnsi="Times New Roman" w:cs="Times New Roman"/>
          <w:sz w:val="24"/>
          <w:szCs w:val="24"/>
          <w:lang w:val="hu-HU"/>
        </w:rPr>
        <w:t xml:space="preserve"> HSBC, Royal Dutch Shell, BP, British American Tobacco</w:t>
      </w:r>
      <w:r>
        <w:rPr>
          <w:rFonts w:ascii="Times New Roman" w:eastAsia="Times New Roman" w:hAnsi="Times New Roman" w:cs="Times New Roman"/>
          <w:sz w:val="24"/>
          <w:szCs w:val="24"/>
          <w:lang w:val="hu-HU"/>
        </w:rPr>
        <w:t xml:space="preserve"> vállalatoknál erőteljes pozitív hatást figyelhetünk meg.</w:t>
      </w:r>
    </w:p>
    <w:p w14:paraId="4C1D5F44" w14:textId="77777777" w:rsidR="002A203C" w:rsidRDefault="002A203C" w:rsidP="00AA7208">
      <w:pPr>
        <w:spacing w:line="360" w:lineRule="auto"/>
        <w:jc w:val="both"/>
        <w:rPr>
          <w:rFonts w:ascii="Times New Roman" w:eastAsia="Times New Roman" w:hAnsi="Times New Roman" w:cs="Times New Roman"/>
          <w:sz w:val="24"/>
          <w:szCs w:val="24"/>
          <w:lang w:val="hu-HU"/>
        </w:rPr>
      </w:pPr>
      <w:r>
        <w:rPr>
          <w:rFonts w:ascii="Times New Roman" w:eastAsia="Times New Roman" w:hAnsi="Times New Roman" w:cs="Times New Roman"/>
          <w:sz w:val="24"/>
          <w:szCs w:val="24"/>
          <w:lang w:val="hu-HU"/>
        </w:rPr>
        <w:t>Az eredmények közti eltérést először a szektorok, iparágak figyelembevételével kezdtük el vizsgálni, azonban ezt nem tartottuk túlságosan célravezető magyarázatnak két okból sem. Egyrészről rögtön a HSBC, valamint a Barclays és</w:t>
      </w:r>
      <w:r w:rsidR="006B0243">
        <w:rPr>
          <w:rFonts w:ascii="Times New Roman" w:eastAsia="Times New Roman" w:hAnsi="Times New Roman" w:cs="Times New Roman"/>
          <w:sz w:val="24"/>
          <w:szCs w:val="24"/>
          <w:lang w:val="hu-HU"/>
        </w:rPr>
        <w:t xml:space="preserve"> a</w:t>
      </w:r>
      <w:r>
        <w:rPr>
          <w:rFonts w:ascii="Times New Roman" w:eastAsia="Times New Roman" w:hAnsi="Times New Roman" w:cs="Times New Roman"/>
          <w:sz w:val="24"/>
          <w:szCs w:val="24"/>
          <w:lang w:val="hu-HU"/>
        </w:rPr>
        <w:t xml:space="preserve"> </w:t>
      </w:r>
      <w:r w:rsidRPr="002A203C">
        <w:rPr>
          <w:rFonts w:ascii="Times New Roman" w:eastAsia="Times New Roman" w:hAnsi="Times New Roman" w:cs="Times New Roman"/>
          <w:sz w:val="24"/>
          <w:szCs w:val="24"/>
          <w:lang w:val="hu-HU"/>
        </w:rPr>
        <w:t>Royal Bank of Scotland</w:t>
      </w:r>
      <w:r>
        <w:rPr>
          <w:rFonts w:ascii="Times New Roman" w:eastAsia="Times New Roman" w:hAnsi="Times New Roman" w:cs="Times New Roman"/>
          <w:sz w:val="24"/>
          <w:szCs w:val="24"/>
          <w:lang w:val="hu-HU"/>
        </w:rPr>
        <w:t xml:space="preserve"> bankoknál ellentétes mozgást láthatunk. Ez az azonos szektoron belüli eltérő viselkedés rögtön alá is ássa a hipotézisünket, miszerint azonos szektorokon belül homogén irányú mozgást kéne látnunk. </w:t>
      </w:r>
      <w:r w:rsidR="001D0D75">
        <w:rPr>
          <w:rFonts w:ascii="Times New Roman" w:eastAsia="Times New Roman" w:hAnsi="Times New Roman" w:cs="Times New Roman"/>
          <w:sz w:val="24"/>
          <w:szCs w:val="24"/>
          <w:lang w:val="hu-HU"/>
        </w:rPr>
        <w:t>Továbbá</w:t>
      </w:r>
      <w:r>
        <w:rPr>
          <w:rFonts w:ascii="Times New Roman" w:eastAsia="Times New Roman" w:hAnsi="Times New Roman" w:cs="Times New Roman"/>
          <w:sz w:val="24"/>
          <w:szCs w:val="24"/>
          <w:lang w:val="hu-HU"/>
        </w:rPr>
        <w:t xml:space="preserve"> úgy gondoljuk, hogy ahhoz kevés cég adatai állnak a rendelkezésünkre, hogy szektorszintű következtetéseket vonjunk le, és iparágakat hasonlítsunk egymáshoz.</w:t>
      </w:r>
      <w:r w:rsidR="006B0243">
        <w:rPr>
          <w:rFonts w:ascii="Times New Roman" w:eastAsia="Times New Roman" w:hAnsi="Times New Roman" w:cs="Times New Roman"/>
          <w:sz w:val="24"/>
          <w:szCs w:val="24"/>
          <w:lang w:val="hu-HU"/>
        </w:rPr>
        <w:t xml:space="preserve"> Ettől függetlenül nem vitatjuk, hogy egyes cégeknél (például légitársaságok)</w:t>
      </w:r>
      <w:r w:rsidR="001D0D75">
        <w:rPr>
          <w:rFonts w:ascii="Times New Roman" w:eastAsia="Times New Roman" w:hAnsi="Times New Roman" w:cs="Times New Roman"/>
          <w:sz w:val="24"/>
          <w:szCs w:val="24"/>
          <w:lang w:val="hu-HU"/>
        </w:rPr>
        <w:t xml:space="preserve"> valószínű</w:t>
      </w:r>
      <w:r w:rsidR="006B0243">
        <w:rPr>
          <w:rFonts w:ascii="Times New Roman" w:eastAsia="Times New Roman" w:hAnsi="Times New Roman" w:cs="Times New Roman"/>
          <w:sz w:val="24"/>
          <w:szCs w:val="24"/>
          <w:lang w:val="hu-HU"/>
        </w:rPr>
        <w:t xml:space="preserve"> szektorszintű homogén változások</w:t>
      </w:r>
      <w:r w:rsidR="001D0D75">
        <w:rPr>
          <w:rFonts w:ascii="Times New Roman" w:eastAsia="Times New Roman" w:hAnsi="Times New Roman" w:cs="Times New Roman"/>
          <w:sz w:val="24"/>
          <w:szCs w:val="24"/>
          <w:lang w:val="hu-HU"/>
        </w:rPr>
        <w:t xml:space="preserve"> voltak megfigyelhetőek az esemény hatására</w:t>
      </w:r>
      <w:r w:rsidR="006B0243">
        <w:rPr>
          <w:rFonts w:ascii="Times New Roman" w:eastAsia="Times New Roman" w:hAnsi="Times New Roman" w:cs="Times New Roman"/>
          <w:sz w:val="24"/>
          <w:szCs w:val="24"/>
          <w:lang w:val="hu-HU"/>
        </w:rPr>
        <w:t>.</w:t>
      </w:r>
    </w:p>
    <w:p w14:paraId="4C1D5F45" w14:textId="77777777" w:rsidR="00514F07" w:rsidRDefault="002A203C" w:rsidP="00AA7208">
      <w:pPr>
        <w:spacing w:line="360" w:lineRule="auto"/>
        <w:jc w:val="both"/>
        <w:rPr>
          <w:rFonts w:ascii="Times New Roman" w:eastAsia="Times New Roman" w:hAnsi="Times New Roman" w:cs="Times New Roman"/>
          <w:sz w:val="24"/>
          <w:szCs w:val="24"/>
          <w:lang w:val="hu-HU"/>
        </w:rPr>
      </w:pPr>
      <w:r>
        <w:rPr>
          <w:rFonts w:ascii="Times New Roman" w:eastAsia="Times New Roman" w:hAnsi="Times New Roman" w:cs="Times New Roman"/>
          <w:sz w:val="24"/>
          <w:szCs w:val="24"/>
          <w:lang w:val="hu-HU"/>
        </w:rPr>
        <w:t xml:space="preserve">Véleményünk szerint </w:t>
      </w:r>
      <w:r w:rsidR="004D0E12">
        <w:rPr>
          <w:rFonts w:ascii="Times New Roman" w:eastAsia="Times New Roman" w:hAnsi="Times New Roman" w:cs="Times New Roman"/>
          <w:sz w:val="24"/>
          <w:szCs w:val="24"/>
          <w:lang w:val="hu-HU"/>
        </w:rPr>
        <w:t xml:space="preserve">a választ inkább a font árfolyamának alakulásában kéne keresni (amely egyébként természetesen összefügg az alapkamat alakulásával is). Ilyen szempontból egy igen fontos dolgot kell mérlegelni minden vállalat esetében: mennyire vannak külföldi érdekeltségeik, mennyire függnek külföldi, leginkább kontinentális európai ügyletektől. Valamint az is egy igen fontos szempont, hogy amennyiben függnek, akkor </w:t>
      </w:r>
      <w:r w:rsidR="009676DB">
        <w:rPr>
          <w:rFonts w:ascii="Times New Roman" w:eastAsia="Times New Roman" w:hAnsi="Times New Roman" w:cs="Times New Roman"/>
          <w:sz w:val="24"/>
          <w:szCs w:val="24"/>
          <w:lang w:val="hu-HU"/>
        </w:rPr>
        <w:t>miképp, ugyanis a</w:t>
      </w:r>
      <w:r w:rsidR="004D0E12">
        <w:rPr>
          <w:rFonts w:ascii="Times New Roman" w:eastAsia="Times New Roman" w:hAnsi="Times New Roman" w:cs="Times New Roman"/>
          <w:sz w:val="24"/>
          <w:szCs w:val="24"/>
          <w:lang w:val="hu-HU"/>
        </w:rPr>
        <w:t xml:space="preserve"> font alakulása teljesen ellentétesen hat importőr és exportőr cégekre (még ha ezek a fogalmak elég absztrakt módon is értelmezhetőek például bankokra).</w:t>
      </w:r>
      <w:r w:rsidR="00514F07">
        <w:rPr>
          <w:rFonts w:ascii="Times New Roman" w:eastAsia="Times New Roman" w:hAnsi="Times New Roman" w:cs="Times New Roman"/>
          <w:sz w:val="24"/>
          <w:szCs w:val="24"/>
          <w:lang w:val="hu-HU"/>
        </w:rPr>
        <w:t xml:space="preserve"> </w:t>
      </w:r>
      <w:r w:rsidR="006B0243">
        <w:rPr>
          <w:rFonts w:ascii="Times New Roman" w:eastAsia="Times New Roman" w:hAnsi="Times New Roman" w:cs="Times New Roman"/>
          <w:sz w:val="24"/>
          <w:szCs w:val="24"/>
          <w:lang w:val="hu-HU"/>
        </w:rPr>
        <w:t xml:space="preserve">Emellett érdemes még azt is figyelni </w:t>
      </w:r>
      <w:r w:rsidR="009676DB">
        <w:rPr>
          <w:rFonts w:ascii="Times New Roman" w:eastAsia="Times New Roman" w:hAnsi="Times New Roman" w:cs="Times New Roman"/>
          <w:sz w:val="24"/>
          <w:szCs w:val="24"/>
          <w:lang w:val="hu-HU"/>
        </w:rPr>
        <w:t>szerintünk</w:t>
      </w:r>
      <w:r w:rsidR="006B0243">
        <w:rPr>
          <w:rFonts w:ascii="Times New Roman" w:eastAsia="Times New Roman" w:hAnsi="Times New Roman" w:cs="Times New Roman"/>
          <w:sz w:val="24"/>
          <w:szCs w:val="24"/>
          <w:lang w:val="hu-HU"/>
        </w:rPr>
        <w:t xml:space="preserve">, hogy az a külföldi érdekeltség ne a kontinentális Európán összpontosuljon, hiszen a Brexit az ezzel a régióval folytatott szabad kereskedelmet visszaveti, gátolja </w:t>
      </w:r>
      <w:r w:rsidR="00B57BE6">
        <w:rPr>
          <w:rFonts w:ascii="Times New Roman" w:eastAsia="Times New Roman" w:hAnsi="Times New Roman" w:cs="Times New Roman"/>
          <w:sz w:val="24"/>
          <w:szCs w:val="24"/>
          <w:lang w:val="hu-HU"/>
        </w:rPr>
        <w:t>(rövid</w:t>
      </w:r>
      <w:r w:rsidR="006B0243">
        <w:rPr>
          <w:rFonts w:ascii="Times New Roman" w:eastAsia="Times New Roman" w:hAnsi="Times New Roman" w:cs="Times New Roman"/>
          <w:sz w:val="24"/>
          <w:szCs w:val="24"/>
          <w:lang w:val="hu-HU"/>
        </w:rPr>
        <w:t>távon biztosan</w:t>
      </w:r>
      <w:r w:rsidR="00B57BE6">
        <w:rPr>
          <w:rFonts w:ascii="Times New Roman" w:eastAsia="Times New Roman" w:hAnsi="Times New Roman" w:cs="Times New Roman"/>
          <w:sz w:val="24"/>
          <w:szCs w:val="24"/>
          <w:lang w:val="hu-HU"/>
        </w:rPr>
        <w:t>)</w:t>
      </w:r>
      <w:r w:rsidR="006B0243">
        <w:rPr>
          <w:rFonts w:ascii="Times New Roman" w:eastAsia="Times New Roman" w:hAnsi="Times New Roman" w:cs="Times New Roman"/>
          <w:sz w:val="24"/>
          <w:szCs w:val="24"/>
          <w:lang w:val="hu-HU"/>
        </w:rPr>
        <w:t>.</w:t>
      </w:r>
    </w:p>
    <w:p w14:paraId="4C1D5F46" w14:textId="77777777" w:rsidR="00F55406" w:rsidRPr="001D39B7" w:rsidRDefault="00514F07" w:rsidP="00B83CD3">
      <w:pPr>
        <w:spacing w:line="360" w:lineRule="auto"/>
        <w:jc w:val="both"/>
        <w:rPr>
          <w:noProof/>
          <w:lang w:val="hu-HU"/>
        </w:rPr>
      </w:pPr>
      <w:r>
        <w:rPr>
          <w:rFonts w:ascii="Times New Roman" w:eastAsia="Times New Roman" w:hAnsi="Times New Roman" w:cs="Times New Roman"/>
          <w:sz w:val="24"/>
          <w:szCs w:val="24"/>
          <w:lang w:val="hu-HU"/>
        </w:rPr>
        <w:t>A Brexit hatására jósolt rövidtávú gazdasági hanyatlás gyenge fontot eredményezett</w:t>
      </w:r>
      <w:r w:rsidR="006B0243">
        <w:rPr>
          <w:rFonts w:ascii="Times New Roman" w:eastAsia="Times New Roman" w:hAnsi="Times New Roman" w:cs="Times New Roman"/>
          <w:sz w:val="24"/>
          <w:szCs w:val="24"/>
          <w:lang w:val="hu-HU"/>
        </w:rPr>
        <w:t xml:space="preserve">, amely egyébként valószínűsíthetően alapkamat emelésekkel is járni fog. Ez azokak a cégeknek, akiknek más devizában van bevételük, hatalmas előny. Visszatérve a banki példára azt láthatjuk, hogy a HSBC, amely főleg ázsiai érdekeltségeiből él, ázsiai devizákban kapja a bevétele nagy részét, a Brexit hír hallatára emelkedésnek indult a tőzsdén. Ezzel szemben a </w:t>
      </w:r>
      <w:r w:rsidR="006B0243" w:rsidRPr="006B0243">
        <w:rPr>
          <w:rFonts w:ascii="Times New Roman" w:eastAsia="Times New Roman" w:hAnsi="Times New Roman" w:cs="Times New Roman"/>
          <w:sz w:val="24"/>
          <w:szCs w:val="24"/>
          <w:lang w:val="hu-HU"/>
        </w:rPr>
        <w:t xml:space="preserve">Barclays és </w:t>
      </w:r>
      <w:r w:rsidR="006B0243">
        <w:rPr>
          <w:rFonts w:ascii="Times New Roman" w:eastAsia="Times New Roman" w:hAnsi="Times New Roman" w:cs="Times New Roman"/>
          <w:sz w:val="24"/>
          <w:szCs w:val="24"/>
          <w:lang w:val="hu-HU"/>
        </w:rPr>
        <w:t xml:space="preserve">a </w:t>
      </w:r>
      <w:r w:rsidR="006B0243" w:rsidRPr="006B0243">
        <w:rPr>
          <w:rFonts w:ascii="Times New Roman" w:eastAsia="Times New Roman" w:hAnsi="Times New Roman" w:cs="Times New Roman"/>
          <w:sz w:val="24"/>
          <w:szCs w:val="24"/>
          <w:lang w:val="hu-HU"/>
        </w:rPr>
        <w:t>Royal Bank of Scotland</w:t>
      </w:r>
      <w:r w:rsidR="006B0243">
        <w:rPr>
          <w:rFonts w:ascii="Times New Roman" w:eastAsia="Times New Roman" w:hAnsi="Times New Roman" w:cs="Times New Roman"/>
          <w:sz w:val="24"/>
          <w:szCs w:val="24"/>
          <w:lang w:val="hu-HU"/>
        </w:rPr>
        <w:t>, melyeknek főleg hazai kitettségeik vannak, rohamosan zuhanni kezdtek.</w:t>
      </w:r>
    </w:p>
    <w:p w14:paraId="4C1D5F47" w14:textId="77777777" w:rsidR="001D39B7" w:rsidRDefault="001D39B7" w:rsidP="001D39B7">
      <w:pPr>
        <w:spacing w:line="360" w:lineRule="auto"/>
        <w:jc w:val="both"/>
        <w:rPr>
          <w:rFonts w:ascii="Times New Roman" w:eastAsia="Times New Roman" w:hAnsi="Times New Roman" w:cs="Times New Roman"/>
          <w:sz w:val="24"/>
          <w:szCs w:val="24"/>
          <w:lang w:val="hu-HU"/>
        </w:rPr>
      </w:pPr>
    </w:p>
    <w:p w14:paraId="4C1D5F48" w14:textId="77777777" w:rsidR="001D39B7" w:rsidRPr="0032467E" w:rsidRDefault="001D39B7" w:rsidP="001D39B7">
      <w:pPr>
        <w:spacing w:line="360" w:lineRule="auto"/>
        <w:jc w:val="both"/>
        <w:rPr>
          <w:rFonts w:ascii="Times New Roman" w:eastAsia="Times New Roman" w:hAnsi="Times New Roman" w:cs="Times New Roman"/>
          <w:b/>
          <w:sz w:val="24"/>
          <w:szCs w:val="24"/>
          <w:lang w:val="hu-HU"/>
        </w:rPr>
      </w:pPr>
      <w:r>
        <w:rPr>
          <w:rFonts w:ascii="Times New Roman" w:eastAsia="Times New Roman" w:hAnsi="Times New Roman" w:cs="Times New Roman"/>
          <w:b/>
          <w:sz w:val="24"/>
          <w:szCs w:val="24"/>
          <w:lang w:val="hu-HU"/>
        </w:rPr>
        <w:t>6. Átlagos abnormális hozamok számítása és értelmezése</w:t>
      </w:r>
    </w:p>
    <w:p w14:paraId="4C1D5F49" w14:textId="77777777" w:rsidR="001D39B7" w:rsidRDefault="00B57BE6" w:rsidP="00B83CD3">
      <w:pPr>
        <w:spacing w:line="360" w:lineRule="auto"/>
        <w:jc w:val="both"/>
        <w:rPr>
          <w:rFonts w:ascii="Times New Roman" w:eastAsia="Times New Roman" w:hAnsi="Times New Roman" w:cs="Times New Roman"/>
          <w:sz w:val="24"/>
          <w:szCs w:val="24"/>
          <w:lang w:val="hu-HU"/>
        </w:rPr>
      </w:pPr>
      <w:r>
        <w:rPr>
          <w:rFonts w:ascii="Times New Roman" w:eastAsia="Times New Roman" w:hAnsi="Times New Roman" w:cs="Times New Roman"/>
          <w:sz w:val="24"/>
          <w:szCs w:val="24"/>
          <w:lang w:val="hu-HU"/>
        </w:rPr>
        <w:lastRenderedPageBreak/>
        <w:t>Ehhez v</w:t>
      </w:r>
      <w:r w:rsidR="00031119">
        <w:rPr>
          <w:rFonts w:ascii="Times New Roman" w:eastAsia="Times New Roman" w:hAnsi="Times New Roman" w:cs="Times New Roman"/>
          <w:sz w:val="24"/>
          <w:szCs w:val="24"/>
          <w:lang w:val="hu-HU"/>
        </w:rPr>
        <w:t xml:space="preserve">isszatértünk az első lépésre, és először egyenlő súllyal (számtani átlaggal) átlagolva a különböző cégek hozamait egy átlagos hozamot </w:t>
      </w:r>
      <w:r>
        <w:rPr>
          <w:rFonts w:ascii="Times New Roman" w:eastAsia="Times New Roman" w:hAnsi="Times New Roman" w:cs="Times New Roman"/>
          <w:sz w:val="24"/>
          <w:szCs w:val="24"/>
          <w:lang w:val="hu-HU"/>
        </w:rPr>
        <w:t>kalkuláltunk</w:t>
      </w:r>
      <w:r w:rsidR="00031119">
        <w:rPr>
          <w:rFonts w:ascii="Times New Roman" w:eastAsia="Times New Roman" w:hAnsi="Times New Roman" w:cs="Times New Roman"/>
          <w:sz w:val="24"/>
          <w:szCs w:val="24"/>
          <w:lang w:val="hu-HU"/>
        </w:rPr>
        <w:t xml:space="preserve">. Ezután ezzel </w:t>
      </w:r>
      <w:r>
        <w:rPr>
          <w:rFonts w:ascii="Times New Roman" w:eastAsia="Times New Roman" w:hAnsi="Times New Roman" w:cs="Times New Roman"/>
          <w:sz w:val="24"/>
          <w:szCs w:val="24"/>
          <w:lang w:val="hu-HU"/>
        </w:rPr>
        <w:t>(</w:t>
      </w:r>
      <w:r w:rsidR="00031119">
        <w:rPr>
          <w:rFonts w:ascii="Times New Roman" w:eastAsia="Times New Roman" w:hAnsi="Times New Roman" w:cs="Times New Roman"/>
          <w:sz w:val="24"/>
          <w:szCs w:val="24"/>
          <w:lang w:val="hu-HU"/>
        </w:rPr>
        <w:t>a fent leírt lépéseket tartva</w:t>
      </w:r>
      <w:r>
        <w:rPr>
          <w:rFonts w:ascii="Times New Roman" w:eastAsia="Times New Roman" w:hAnsi="Times New Roman" w:cs="Times New Roman"/>
          <w:sz w:val="24"/>
          <w:szCs w:val="24"/>
          <w:lang w:val="hu-HU"/>
        </w:rPr>
        <w:t>)</w:t>
      </w:r>
      <w:r w:rsidR="00031119">
        <w:rPr>
          <w:rFonts w:ascii="Times New Roman" w:eastAsia="Times New Roman" w:hAnsi="Times New Roman" w:cs="Times New Roman"/>
          <w:sz w:val="24"/>
          <w:szCs w:val="24"/>
          <w:lang w:val="hu-HU"/>
        </w:rPr>
        <w:t xml:space="preserve"> kiszámoltuk és teszteltük az abnormális és kumulált abnormális hozamokat. Ennek eredményét az alábbi táblázatban tettük közzé.</w:t>
      </w:r>
    </w:p>
    <w:p w14:paraId="4C1D5F4A" w14:textId="77777777" w:rsidR="00031119" w:rsidRDefault="00031119" w:rsidP="00031119">
      <w:pPr>
        <w:spacing w:line="360" w:lineRule="auto"/>
        <w:jc w:val="center"/>
        <w:rPr>
          <w:rFonts w:ascii="Times New Roman" w:eastAsia="Times New Roman" w:hAnsi="Times New Roman" w:cs="Times New Roman"/>
          <w:sz w:val="24"/>
          <w:szCs w:val="24"/>
          <w:lang w:val="hu-HU"/>
        </w:rPr>
      </w:pPr>
      <w:r w:rsidRPr="00031119">
        <w:rPr>
          <w:noProof/>
        </w:rPr>
        <w:drawing>
          <wp:inline distT="0" distB="0" distL="0" distR="0" wp14:anchorId="4C1D5F59" wp14:editId="4C1D5F5A">
            <wp:extent cx="4630771" cy="142875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8458" cy="1431122"/>
                    </a:xfrm>
                    <a:prstGeom prst="rect">
                      <a:avLst/>
                    </a:prstGeom>
                    <a:noFill/>
                    <a:ln>
                      <a:noFill/>
                    </a:ln>
                  </pic:spPr>
                </pic:pic>
              </a:graphicData>
            </a:graphic>
          </wp:inline>
        </w:drawing>
      </w:r>
    </w:p>
    <w:p w14:paraId="4C1D5F4B" w14:textId="299DC26F" w:rsidR="00031119" w:rsidRDefault="00031119" w:rsidP="00031119">
      <w:pPr>
        <w:spacing w:line="360" w:lineRule="auto"/>
        <w:jc w:val="both"/>
        <w:rPr>
          <w:rFonts w:ascii="Times New Roman" w:eastAsia="Times New Roman" w:hAnsi="Times New Roman" w:cs="Times New Roman"/>
          <w:sz w:val="24"/>
          <w:szCs w:val="24"/>
          <w:lang w:val="hu-HU"/>
        </w:rPr>
      </w:pPr>
      <w:r>
        <w:rPr>
          <w:rFonts w:ascii="Times New Roman" w:eastAsia="Times New Roman" w:hAnsi="Times New Roman" w:cs="Times New Roman"/>
          <w:sz w:val="24"/>
          <w:szCs w:val="24"/>
          <w:lang w:val="hu-HU"/>
        </w:rPr>
        <w:t>Azt láthatjuk, hogy átlagosan az eseményablak második napja után a kumulált abnormális hozam szignifikánsnak mondható. Az SCAR értékek alakulásában azt láthatjuk, hogy a Brexit ezekre a cégekre átlagosan negatívan hatott, a részvényárfolyamuk az esemény hatására átlagosan esett. Amennyiben azzal a feltételezéssel élünk, hogy ezek a cégek jól reprezentálják az egész brit gazdaságot, úgy az egész gazdaságra is hasonló negatív megállapításokat tehetünk.</w:t>
      </w:r>
    </w:p>
    <w:p w14:paraId="2438F1AB" w14:textId="379C02B1" w:rsidR="00F17A17" w:rsidRDefault="00F17A17" w:rsidP="00031119">
      <w:pPr>
        <w:spacing w:line="360" w:lineRule="auto"/>
        <w:jc w:val="both"/>
        <w:rPr>
          <w:rFonts w:ascii="Times New Roman" w:eastAsia="Times New Roman" w:hAnsi="Times New Roman" w:cs="Times New Roman"/>
          <w:sz w:val="24"/>
          <w:szCs w:val="24"/>
          <w:lang w:val="hu-HU"/>
        </w:rPr>
      </w:pPr>
    </w:p>
    <w:p w14:paraId="77200468" w14:textId="457839E7" w:rsidR="00F17A17" w:rsidRPr="00F17A17" w:rsidRDefault="00F17A17" w:rsidP="00B94C3B">
      <w:pPr>
        <w:spacing w:line="360" w:lineRule="auto"/>
        <w:rPr>
          <w:rFonts w:ascii="Times New Roman" w:eastAsia="Times New Roman" w:hAnsi="Times New Roman" w:cs="Times New Roman"/>
          <w:i/>
          <w:iCs/>
          <w:sz w:val="24"/>
          <w:szCs w:val="24"/>
          <w:lang w:val="hu-HU"/>
        </w:rPr>
      </w:pPr>
      <w:r>
        <w:rPr>
          <w:rFonts w:ascii="Times New Roman" w:eastAsia="Times New Roman" w:hAnsi="Times New Roman" w:cs="Times New Roman"/>
          <w:i/>
          <w:iCs/>
          <w:sz w:val="24"/>
          <w:szCs w:val="24"/>
          <w:lang w:val="hu-HU"/>
        </w:rPr>
        <w:t>A</w:t>
      </w:r>
      <w:r w:rsidR="00097924">
        <w:rPr>
          <w:rFonts w:ascii="Times New Roman" w:eastAsia="Times New Roman" w:hAnsi="Times New Roman" w:cs="Times New Roman"/>
          <w:i/>
          <w:iCs/>
          <w:sz w:val="24"/>
          <w:szCs w:val="24"/>
          <w:lang w:val="hu-HU"/>
        </w:rPr>
        <w:t xml:space="preserve">z elemzéshez használt </w:t>
      </w:r>
      <w:r>
        <w:rPr>
          <w:rFonts w:ascii="Times New Roman" w:eastAsia="Times New Roman" w:hAnsi="Times New Roman" w:cs="Times New Roman"/>
          <w:i/>
          <w:iCs/>
          <w:sz w:val="24"/>
          <w:szCs w:val="24"/>
          <w:lang w:val="hu-HU"/>
        </w:rPr>
        <w:t>kód</w:t>
      </w:r>
      <w:r w:rsidR="00097924">
        <w:rPr>
          <w:rFonts w:ascii="Times New Roman" w:eastAsia="Times New Roman" w:hAnsi="Times New Roman" w:cs="Times New Roman"/>
          <w:i/>
          <w:iCs/>
          <w:sz w:val="24"/>
          <w:szCs w:val="24"/>
          <w:lang w:val="hu-HU"/>
        </w:rPr>
        <w:t>ok</w:t>
      </w:r>
      <w:r>
        <w:rPr>
          <w:rFonts w:ascii="Times New Roman" w:eastAsia="Times New Roman" w:hAnsi="Times New Roman" w:cs="Times New Roman"/>
          <w:i/>
          <w:iCs/>
          <w:sz w:val="24"/>
          <w:szCs w:val="24"/>
          <w:lang w:val="hu-HU"/>
        </w:rPr>
        <w:t xml:space="preserve"> ezalkalommal is elérhető</w:t>
      </w:r>
      <w:r w:rsidR="00097924">
        <w:rPr>
          <w:rFonts w:ascii="Times New Roman" w:eastAsia="Times New Roman" w:hAnsi="Times New Roman" w:cs="Times New Roman"/>
          <w:i/>
          <w:iCs/>
          <w:sz w:val="24"/>
          <w:szCs w:val="24"/>
          <w:lang w:val="hu-HU"/>
        </w:rPr>
        <w:t>ek</w:t>
      </w:r>
      <w:bookmarkStart w:id="0" w:name="_GoBack"/>
      <w:bookmarkEnd w:id="0"/>
      <w:r>
        <w:rPr>
          <w:rFonts w:ascii="Times New Roman" w:eastAsia="Times New Roman" w:hAnsi="Times New Roman" w:cs="Times New Roman"/>
          <w:i/>
          <w:iCs/>
          <w:sz w:val="24"/>
          <w:szCs w:val="24"/>
          <w:lang w:val="hu-HU"/>
        </w:rPr>
        <w:t xml:space="preserve"> a GitHub linkünkön: </w:t>
      </w:r>
      <w:hyperlink r:id="rId13" w:history="1">
        <w:r w:rsidR="00B94C3B" w:rsidRPr="00B94C3B">
          <w:rPr>
            <w:rStyle w:val="Hyperlink"/>
            <w:rFonts w:ascii="Times New Roman" w:eastAsia="Times New Roman" w:hAnsi="Times New Roman" w:cs="Times New Roman"/>
            <w:sz w:val="24"/>
            <w:szCs w:val="24"/>
            <w:lang w:val="hu-HU"/>
          </w:rPr>
          <w:t>https://github.com/selmeczia/empirical_finance_course/tree/master/3_hf</w:t>
        </w:r>
      </w:hyperlink>
    </w:p>
    <w:p w14:paraId="4C1D5F4C" w14:textId="77777777" w:rsidR="000F0115" w:rsidRDefault="000F0115" w:rsidP="00B83CD3">
      <w:pPr>
        <w:spacing w:line="360" w:lineRule="auto"/>
        <w:jc w:val="both"/>
        <w:rPr>
          <w:rFonts w:ascii="Times New Roman" w:eastAsia="Times New Roman" w:hAnsi="Times New Roman" w:cs="Times New Roman"/>
          <w:sz w:val="24"/>
          <w:szCs w:val="24"/>
          <w:lang w:val="hu-HU"/>
        </w:rPr>
      </w:pPr>
    </w:p>
    <w:p w14:paraId="4C1D5F4D" w14:textId="77777777" w:rsidR="000F0115" w:rsidRPr="0032467E" w:rsidRDefault="000F0115" w:rsidP="000F0115">
      <w:pPr>
        <w:spacing w:line="360" w:lineRule="auto"/>
        <w:jc w:val="both"/>
        <w:rPr>
          <w:rFonts w:ascii="Times New Roman" w:eastAsia="Times New Roman" w:hAnsi="Times New Roman" w:cs="Times New Roman"/>
          <w:b/>
          <w:sz w:val="24"/>
          <w:szCs w:val="24"/>
          <w:lang w:val="hu-HU"/>
        </w:rPr>
      </w:pPr>
      <w:r>
        <w:rPr>
          <w:rFonts w:ascii="Times New Roman" w:eastAsia="Times New Roman" w:hAnsi="Times New Roman" w:cs="Times New Roman"/>
          <w:b/>
          <w:sz w:val="24"/>
          <w:szCs w:val="24"/>
          <w:lang w:val="hu-HU"/>
        </w:rPr>
        <w:t>Bónusz 2</w:t>
      </w:r>
      <w:r w:rsidRPr="0032467E">
        <w:rPr>
          <w:rFonts w:ascii="Times New Roman" w:eastAsia="Times New Roman" w:hAnsi="Times New Roman" w:cs="Times New Roman"/>
          <w:b/>
          <w:sz w:val="24"/>
          <w:szCs w:val="24"/>
          <w:lang w:val="hu-HU"/>
        </w:rPr>
        <w:t xml:space="preserve">. </w:t>
      </w:r>
      <w:r>
        <w:rPr>
          <w:rFonts w:ascii="Times New Roman" w:eastAsia="Times New Roman" w:hAnsi="Times New Roman" w:cs="Times New Roman"/>
          <w:b/>
          <w:sz w:val="24"/>
          <w:szCs w:val="24"/>
          <w:lang w:val="hu-HU"/>
        </w:rPr>
        <w:t>Cikk véleménye az eseményelemzésről</w:t>
      </w:r>
    </w:p>
    <w:p w14:paraId="4C1D5F4E" w14:textId="77777777" w:rsidR="00E95C67" w:rsidRDefault="0091592F" w:rsidP="00B83CD3">
      <w:pPr>
        <w:spacing w:line="360" w:lineRule="auto"/>
        <w:jc w:val="both"/>
        <w:rPr>
          <w:rFonts w:ascii="Times New Roman" w:eastAsia="Times New Roman" w:hAnsi="Times New Roman" w:cs="Times New Roman"/>
          <w:sz w:val="24"/>
          <w:szCs w:val="24"/>
          <w:lang w:val="hu-HU"/>
        </w:rPr>
      </w:pPr>
      <w:r>
        <w:rPr>
          <w:rFonts w:ascii="Times New Roman" w:eastAsia="Times New Roman" w:hAnsi="Times New Roman" w:cs="Times New Roman"/>
          <w:sz w:val="24"/>
          <w:szCs w:val="24"/>
          <w:lang w:val="hu-HU"/>
        </w:rPr>
        <w:t>Zingales (2000)</w:t>
      </w:r>
      <w:r w:rsidR="00E95C67">
        <w:rPr>
          <w:rFonts w:ascii="Times New Roman" w:eastAsia="Times New Roman" w:hAnsi="Times New Roman" w:cs="Times New Roman"/>
          <w:sz w:val="24"/>
          <w:szCs w:val="24"/>
          <w:lang w:val="hu-HU"/>
        </w:rPr>
        <w:t xml:space="preserve"> cikkében</w:t>
      </w:r>
      <w:r w:rsidR="00FE179B">
        <w:rPr>
          <w:rFonts w:ascii="Times New Roman" w:eastAsia="Times New Roman" w:hAnsi="Times New Roman" w:cs="Times New Roman"/>
          <w:sz w:val="24"/>
          <w:szCs w:val="24"/>
          <w:lang w:val="hu-HU"/>
        </w:rPr>
        <w:t xml:space="preserve"> </w:t>
      </w:r>
      <w:r w:rsidR="00E95C67">
        <w:rPr>
          <w:rFonts w:ascii="Times New Roman" w:eastAsia="Times New Roman" w:hAnsi="Times New Roman" w:cs="Times New Roman"/>
          <w:sz w:val="24"/>
          <w:szCs w:val="24"/>
          <w:lang w:val="hu-HU"/>
        </w:rPr>
        <w:t>arról</w:t>
      </w:r>
      <w:r w:rsidR="00FE179B">
        <w:rPr>
          <w:rFonts w:ascii="Times New Roman" w:eastAsia="Times New Roman" w:hAnsi="Times New Roman" w:cs="Times New Roman"/>
          <w:sz w:val="24"/>
          <w:szCs w:val="24"/>
          <w:lang w:val="hu-HU"/>
        </w:rPr>
        <w:t xml:space="preserve"> é</w:t>
      </w:r>
      <w:r w:rsidR="00E95C67">
        <w:rPr>
          <w:rFonts w:ascii="Times New Roman" w:eastAsia="Times New Roman" w:hAnsi="Times New Roman" w:cs="Times New Roman"/>
          <w:sz w:val="24"/>
          <w:szCs w:val="24"/>
          <w:lang w:val="hu-HU"/>
        </w:rPr>
        <w:t xml:space="preserve">rvel, hogyan is alakult át a vállalati pénzügyek fogalma az évek alatt. </w:t>
      </w:r>
      <w:r w:rsidR="00EF187D">
        <w:rPr>
          <w:rFonts w:ascii="Times New Roman" w:eastAsia="Times New Roman" w:hAnsi="Times New Roman" w:cs="Times New Roman"/>
          <w:sz w:val="24"/>
          <w:szCs w:val="24"/>
          <w:lang w:val="hu-HU"/>
        </w:rPr>
        <w:t>Szerinte a múltbeli elméletekkel ellentétben</w:t>
      </w:r>
      <w:r w:rsidR="00E95C67">
        <w:rPr>
          <w:rFonts w:ascii="Times New Roman" w:eastAsia="Times New Roman" w:hAnsi="Times New Roman" w:cs="Times New Roman"/>
          <w:sz w:val="24"/>
          <w:szCs w:val="24"/>
          <w:lang w:val="hu-HU"/>
        </w:rPr>
        <w:t xml:space="preserve"> manapság már</w:t>
      </w:r>
      <w:r w:rsidR="00EF187D">
        <w:rPr>
          <w:rFonts w:ascii="Times New Roman" w:eastAsia="Times New Roman" w:hAnsi="Times New Roman" w:cs="Times New Roman"/>
          <w:sz w:val="24"/>
          <w:szCs w:val="24"/>
          <w:lang w:val="hu-HU"/>
        </w:rPr>
        <w:t xml:space="preserve"> egyáltalán</w:t>
      </w:r>
      <w:r w:rsidR="00E95C67">
        <w:rPr>
          <w:rFonts w:ascii="Times New Roman" w:eastAsia="Times New Roman" w:hAnsi="Times New Roman" w:cs="Times New Roman"/>
          <w:sz w:val="24"/>
          <w:szCs w:val="24"/>
          <w:lang w:val="hu-HU"/>
        </w:rPr>
        <w:t xml:space="preserve"> nem elhanyagolható szempont egy vállalat pénzügyeinek</w:t>
      </w:r>
      <w:r w:rsidR="00E95C67" w:rsidRPr="00E95C67">
        <w:rPr>
          <w:rFonts w:ascii="Times New Roman" w:eastAsia="Times New Roman" w:hAnsi="Times New Roman" w:cs="Times New Roman"/>
          <w:sz w:val="24"/>
          <w:szCs w:val="24"/>
          <w:lang w:val="hu-HU"/>
        </w:rPr>
        <w:t xml:space="preserve"> </w:t>
      </w:r>
      <w:r w:rsidR="00E95C67">
        <w:rPr>
          <w:rFonts w:ascii="Times New Roman" w:eastAsia="Times New Roman" w:hAnsi="Times New Roman" w:cs="Times New Roman"/>
          <w:sz w:val="24"/>
          <w:szCs w:val="24"/>
          <w:lang w:val="hu-HU"/>
        </w:rPr>
        <w:t>és a vállalat értékének megítélésében a finanszírozás és a vállalatirányítás kérdésköre.</w:t>
      </w:r>
      <w:r w:rsidR="005E0A93">
        <w:rPr>
          <w:rFonts w:ascii="Times New Roman" w:eastAsia="Times New Roman" w:hAnsi="Times New Roman" w:cs="Times New Roman"/>
          <w:sz w:val="24"/>
          <w:szCs w:val="24"/>
          <w:lang w:val="hu-HU"/>
        </w:rPr>
        <w:t xml:space="preserve"> Kiemeli, hogy amint egy vállalatot az implicit és explicit szerződése</w:t>
      </w:r>
      <w:r w:rsidR="001E1F8C">
        <w:rPr>
          <w:rFonts w:ascii="Times New Roman" w:eastAsia="Times New Roman" w:hAnsi="Times New Roman" w:cs="Times New Roman"/>
          <w:sz w:val="24"/>
          <w:szCs w:val="24"/>
          <w:lang w:val="hu-HU"/>
        </w:rPr>
        <w:t>k összességeként definiálunk, egy jelentős állítást fogadunk el: egy vállalat egyben nem biztos, hogy ugyanannyit ér, mint a vállalat darabjainak/részeinek összessége.</w:t>
      </w:r>
    </w:p>
    <w:p w14:paraId="4C1D5F4F" w14:textId="77777777" w:rsidR="00EF187D" w:rsidRDefault="00E95C67" w:rsidP="00B83CD3">
      <w:pPr>
        <w:spacing w:line="360" w:lineRule="auto"/>
        <w:jc w:val="both"/>
        <w:rPr>
          <w:rFonts w:ascii="Times New Roman" w:eastAsia="Times New Roman" w:hAnsi="Times New Roman" w:cs="Times New Roman"/>
          <w:sz w:val="24"/>
          <w:szCs w:val="24"/>
          <w:lang w:val="hu-HU"/>
        </w:rPr>
      </w:pPr>
      <w:r>
        <w:rPr>
          <w:rFonts w:ascii="Times New Roman" w:eastAsia="Times New Roman" w:hAnsi="Times New Roman" w:cs="Times New Roman"/>
          <w:sz w:val="24"/>
          <w:szCs w:val="24"/>
          <w:lang w:val="hu-HU"/>
        </w:rPr>
        <w:t>Az eseményelemzés gyakorlati használhatóságáról kissé vegyes a véleménye. Kiemeli, hogy mivel végső soron a tulajdonosok az elszenvedői minden vállalati döntésnek, így a vállalat értékében (azaz a részvényárfolyamban egy nyilvános részvénytársaság esetében) bekövetkezett változások remek mérőszámai lehetnek annak, hogy egy vállalat mennyire jól menedzselt, mennyire vannak rendben pénzügyei. Ennek tulajdonítja egyébként a széleskörű elterjedését és népszerűségét a</w:t>
      </w:r>
      <w:r w:rsidR="001E1F8C">
        <w:rPr>
          <w:rFonts w:ascii="Times New Roman" w:eastAsia="Times New Roman" w:hAnsi="Times New Roman" w:cs="Times New Roman"/>
          <w:sz w:val="24"/>
          <w:szCs w:val="24"/>
          <w:lang w:val="hu-HU"/>
        </w:rPr>
        <w:t>z</w:t>
      </w:r>
      <w:r>
        <w:rPr>
          <w:rFonts w:ascii="Times New Roman" w:eastAsia="Times New Roman" w:hAnsi="Times New Roman" w:cs="Times New Roman"/>
          <w:sz w:val="24"/>
          <w:szCs w:val="24"/>
          <w:lang w:val="hu-HU"/>
        </w:rPr>
        <w:t xml:space="preserve"> eseményelemzési módszereknek</w:t>
      </w:r>
      <w:r w:rsidR="00EF187D">
        <w:rPr>
          <w:rFonts w:ascii="Times New Roman" w:eastAsia="Times New Roman" w:hAnsi="Times New Roman" w:cs="Times New Roman"/>
          <w:sz w:val="24"/>
          <w:szCs w:val="24"/>
          <w:lang w:val="hu-HU"/>
        </w:rPr>
        <w:t>, mert az eseményelemzés így</w:t>
      </w:r>
      <w:r>
        <w:rPr>
          <w:rFonts w:ascii="Times New Roman" w:eastAsia="Times New Roman" w:hAnsi="Times New Roman" w:cs="Times New Roman"/>
          <w:sz w:val="24"/>
          <w:szCs w:val="24"/>
          <w:lang w:val="hu-HU"/>
        </w:rPr>
        <w:t xml:space="preserve"> a tulajdonosi értéket tartja szem előtt, ezt számszerűsíti, valamint </w:t>
      </w:r>
      <w:r w:rsidR="005E0A93">
        <w:rPr>
          <w:rFonts w:ascii="Times New Roman" w:eastAsia="Times New Roman" w:hAnsi="Times New Roman" w:cs="Times New Roman"/>
          <w:sz w:val="24"/>
          <w:szCs w:val="24"/>
          <w:lang w:val="hu-HU"/>
        </w:rPr>
        <w:t xml:space="preserve">egy hatékony, elméletileg zajmentes modellt eredményez. </w:t>
      </w:r>
    </w:p>
    <w:p w14:paraId="4C1D5F50" w14:textId="77777777" w:rsidR="00E95C67" w:rsidRPr="00C0590A" w:rsidRDefault="005E0A93" w:rsidP="00B83CD3">
      <w:pPr>
        <w:spacing w:line="360" w:lineRule="auto"/>
        <w:jc w:val="both"/>
        <w:rPr>
          <w:rFonts w:ascii="Times New Roman" w:eastAsia="Times New Roman" w:hAnsi="Times New Roman" w:cs="Times New Roman"/>
          <w:sz w:val="24"/>
          <w:szCs w:val="24"/>
          <w:lang w:val="hu-HU"/>
        </w:rPr>
      </w:pPr>
      <w:r>
        <w:rPr>
          <w:rFonts w:ascii="Times New Roman" w:eastAsia="Times New Roman" w:hAnsi="Times New Roman" w:cs="Times New Roman"/>
          <w:sz w:val="24"/>
          <w:szCs w:val="24"/>
          <w:lang w:val="hu-HU"/>
        </w:rPr>
        <w:lastRenderedPageBreak/>
        <w:t xml:space="preserve">A modell tehát elméletben jól működik, azonban a gyakorlatban lehetnek hátrányai. E hátrányok főképp a részvényárfolyam, mint input paraméter, alakulására vezethetőek vissza, ugyanis </w:t>
      </w:r>
      <w:r w:rsidR="00EF187D">
        <w:rPr>
          <w:rFonts w:ascii="Times New Roman" w:eastAsia="Times New Roman" w:hAnsi="Times New Roman" w:cs="Times New Roman"/>
          <w:sz w:val="24"/>
          <w:szCs w:val="24"/>
          <w:lang w:val="hu-HU"/>
        </w:rPr>
        <w:t>ennek</w:t>
      </w:r>
      <w:r>
        <w:rPr>
          <w:rFonts w:ascii="Times New Roman" w:eastAsia="Times New Roman" w:hAnsi="Times New Roman" w:cs="Times New Roman"/>
          <w:sz w:val="24"/>
          <w:szCs w:val="24"/>
          <w:lang w:val="hu-HU"/>
        </w:rPr>
        <w:t xml:space="preserve"> mozgása vállalatonként nagyban függ, hogy ítélik meg a befektetők az aktuális</w:t>
      </w:r>
      <w:r w:rsidR="00E95C67">
        <w:rPr>
          <w:rFonts w:ascii="Times New Roman" w:eastAsia="Times New Roman" w:hAnsi="Times New Roman" w:cs="Times New Roman"/>
          <w:sz w:val="24"/>
          <w:szCs w:val="24"/>
          <w:lang w:val="hu-HU"/>
        </w:rPr>
        <w:t xml:space="preserve"> </w:t>
      </w:r>
      <w:r w:rsidRPr="005E0A93">
        <w:rPr>
          <w:rFonts w:ascii="Times New Roman" w:eastAsia="Times New Roman" w:hAnsi="Times New Roman" w:cs="Times New Roman"/>
          <w:sz w:val="24"/>
          <w:szCs w:val="24"/>
          <w:lang w:val="hu-HU"/>
        </w:rPr>
        <w:t>haszonáldozat</w:t>
      </w:r>
      <w:r w:rsidR="001E1F8C">
        <w:rPr>
          <w:rFonts w:ascii="Times New Roman" w:eastAsia="Times New Roman" w:hAnsi="Times New Roman" w:cs="Times New Roman"/>
          <w:sz w:val="24"/>
          <w:szCs w:val="24"/>
          <w:lang w:val="hu-HU"/>
        </w:rPr>
        <w:t>i</w:t>
      </w:r>
      <w:r w:rsidRPr="005E0A93">
        <w:rPr>
          <w:rFonts w:ascii="Times New Roman" w:eastAsia="Times New Roman" w:hAnsi="Times New Roman" w:cs="Times New Roman"/>
          <w:sz w:val="24"/>
          <w:szCs w:val="24"/>
          <w:lang w:val="hu-HU"/>
        </w:rPr>
        <w:t xml:space="preserve"> költség</w:t>
      </w:r>
      <w:r>
        <w:rPr>
          <w:rFonts w:ascii="Times New Roman" w:eastAsia="Times New Roman" w:hAnsi="Times New Roman" w:cs="Times New Roman"/>
          <w:sz w:val="24"/>
          <w:szCs w:val="24"/>
          <w:lang w:val="hu-HU"/>
        </w:rPr>
        <w:t>et</w:t>
      </w:r>
      <w:r w:rsidR="001E1F8C">
        <w:rPr>
          <w:rFonts w:ascii="Times New Roman" w:eastAsia="Times New Roman" w:hAnsi="Times New Roman" w:cs="Times New Roman"/>
          <w:sz w:val="24"/>
          <w:szCs w:val="24"/>
          <w:lang w:val="hu-HU"/>
        </w:rPr>
        <w:t xml:space="preserve"> („opportunity cost”)</w:t>
      </w:r>
      <w:r>
        <w:rPr>
          <w:rFonts w:ascii="Times New Roman" w:eastAsia="Times New Roman" w:hAnsi="Times New Roman" w:cs="Times New Roman"/>
          <w:sz w:val="24"/>
          <w:szCs w:val="24"/>
          <w:lang w:val="hu-HU"/>
        </w:rPr>
        <w:t>. Ennek megfelelően</w:t>
      </w:r>
      <w:r w:rsidR="00EF187D">
        <w:rPr>
          <w:rFonts w:ascii="Times New Roman" w:eastAsia="Times New Roman" w:hAnsi="Times New Roman" w:cs="Times New Roman"/>
          <w:sz w:val="24"/>
          <w:szCs w:val="24"/>
          <w:lang w:val="hu-HU"/>
        </w:rPr>
        <w:t xml:space="preserve"> a részvényárfolam</w:t>
      </w:r>
      <w:r>
        <w:rPr>
          <w:rFonts w:ascii="Times New Roman" w:eastAsia="Times New Roman" w:hAnsi="Times New Roman" w:cs="Times New Roman"/>
          <w:sz w:val="24"/>
          <w:szCs w:val="24"/>
          <w:lang w:val="hu-HU"/>
        </w:rPr>
        <w:t xml:space="preserve"> még hatékony piaci viszonyok mellett is rossz indikátorrá válhat. Tehát attól a ponttól kez</w:t>
      </w:r>
      <w:r w:rsidR="001E1F8C">
        <w:rPr>
          <w:rFonts w:ascii="Times New Roman" w:eastAsia="Times New Roman" w:hAnsi="Times New Roman" w:cs="Times New Roman"/>
          <w:sz w:val="24"/>
          <w:szCs w:val="24"/>
          <w:lang w:val="hu-HU"/>
        </w:rPr>
        <w:t xml:space="preserve">dve, hogy implicit kontraktusokat </w:t>
      </w:r>
      <w:r>
        <w:rPr>
          <w:rFonts w:ascii="Times New Roman" w:eastAsia="Times New Roman" w:hAnsi="Times New Roman" w:cs="Times New Roman"/>
          <w:sz w:val="24"/>
          <w:szCs w:val="24"/>
          <w:lang w:val="hu-HU"/>
        </w:rPr>
        <w:t>is figyelembe vesszük egy cég megítélésében</w:t>
      </w:r>
      <w:r w:rsidR="001E1F8C">
        <w:rPr>
          <w:rFonts w:ascii="Times New Roman" w:eastAsia="Times New Roman" w:hAnsi="Times New Roman" w:cs="Times New Roman"/>
          <w:sz w:val="24"/>
          <w:szCs w:val="24"/>
          <w:lang w:val="hu-HU"/>
        </w:rPr>
        <w:t>, az eseményelemzés módszertana elég ingoványos, megbízhatatlan területté válhat.</w:t>
      </w:r>
    </w:p>
    <w:sectPr w:rsidR="00E95C67" w:rsidRPr="00C0590A" w:rsidSect="00E96AE5">
      <w:headerReference w:type="default" r:id="rId14"/>
      <w:footerReference w:type="default" r:id="rId15"/>
      <w:pgSz w:w="12240" w:h="15840"/>
      <w:pgMar w:top="1417" w:right="1417" w:bottom="851" w:left="1417"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B4B7A" w14:textId="77777777" w:rsidR="00E553BE" w:rsidRDefault="00E553BE">
      <w:pPr>
        <w:spacing w:line="240" w:lineRule="auto"/>
      </w:pPr>
      <w:r>
        <w:separator/>
      </w:r>
    </w:p>
  </w:endnote>
  <w:endnote w:type="continuationSeparator" w:id="0">
    <w:p w14:paraId="4AD3E3BB" w14:textId="77777777" w:rsidR="00E553BE" w:rsidRDefault="00E553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030838597"/>
      <w:docPartObj>
        <w:docPartGallery w:val="Page Numbers (Bottom of Page)"/>
        <w:docPartUnique/>
      </w:docPartObj>
    </w:sdtPr>
    <w:sdtEndPr/>
    <w:sdtContent>
      <w:p w14:paraId="4C1D5F60" w14:textId="77777777" w:rsidR="00B82FFA" w:rsidRPr="00B82FFA" w:rsidRDefault="00B82FFA">
        <w:pPr>
          <w:pStyle w:val="Footer"/>
          <w:jc w:val="center"/>
          <w:rPr>
            <w:rFonts w:ascii="Times New Roman" w:hAnsi="Times New Roman" w:cs="Times New Roman"/>
          </w:rPr>
        </w:pPr>
        <w:r w:rsidRPr="00B82FFA">
          <w:rPr>
            <w:rFonts w:ascii="Times New Roman" w:hAnsi="Times New Roman" w:cs="Times New Roman"/>
          </w:rPr>
          <w:fldChar w:fldCharType="begin"/>
        </w:r>
        <w:r w:rsidRPr="00B82FFA">
          <w:rPr>
            <w:rFonts w:ascii="Times New Roman" w:hAnsi="Times New Roman" w:cs="Times New Roman"/>
          </w:rPr>
          <w:instrText>PAGE   \* MERGEFORMAT</w:instrText>
        </w:r>
        <w:r w:rsidRPr="00B82FFA">
          <w:rPr>
            <w:rFonts w:ascii="Times New Roman" w:hAnsi="Times New Roman" w:cs="Times New Roman"/>
          </w:rPr>
          <w:fldChar w:fldCharType="separate"/>
        </w:r>
        <w:r w:rsidR="00EF187D" w:rsidRPr="00EF187D">
          <w:rPr>
            <w:rFonts w:ascii="Times New Roman" w:hAnsi="Times New Roman" w:cs="Times New Roman"/>
            <w:noProof/>
            <w:lang w:val="hu-HU"/>
          </w:rPr>
          <w:t>4</w:t>
        </w:r>
        <w:r w:rsidRPr="00B82FFA">
          <w:rPr>
            <w:rFonts w:ascii="Times New Roman" w:hAnsi="Times New Roman" w:cs="Times New Roman"/>
          </w:rPr>
          <w:fldChar w:fldCharType="end"/>
        </w:r>
      </w:p>
    </w:sdtContent>
  </w:sdt>
  <w:p w14:paraId="4C1D5F61" w14:textId="77777777" w:rsidR="00A80684" w:rsidRPr="00B82FFA" w:rsidRDefault="00A80684">
    <w:pPr>
      <w:jc w:val="righ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ACBAB" w14:textId="77777777" w:rsidR="00E553BE" w:rsidRDefault="00E553BE">
      <w:pPr>
        <w:spacing w:line="240" w:lineRule="auto"/>
      </w:pPr>
      <w:r>
        <w:separator/>
      </w:r>
    </w:p>
  </w:footnote>
  <w:footnote w:type="continuationSeparator" w:id="0">
    <w:p w14:paraId="7774A2A4" w14:textId="77777777" w:rsidR="00E553BE" w:rsidRDefault="00E553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D5F5F" w14:textId="77777777" w:rsidR="00A80684" w:rsidRPr="004115C3" w:rsidRDefault="006A3072" w:rsidP="004C7057">
    <w:pPr>
      <w:rPr>
        <w:rFonts w:ascii="Times New Roman" w:hAnsi="Times New Roman" w:cs="Times New Roman"/>
        <w:sz w:val="18"/>
        <w:lang w:val="hu-HU"/>
      </w:rPr>
    </w:pPr>
    <w:r w:rsidRPr="004115C3">
      <w:rPr>
        <w:rFonts w:ascii="Times New Roman" w:hAnsi="Times New Roman" w:cs="Times New Roman"/>
        <w:sz w:val="18"/>
        <w:lang w:val="hu-HU"/>
      </w:rPr>
      <w:t>Empirikus pénzügyek</w:t>
    </w:r>
    <w:r w:rsidR="005259ED" w:rsidRPr="004115C3">
      <w:rPr>
        <w:rFonts w:ascii="Times New Roman" w:hAnsi="Times New Roman" w:cs="Times New Roman"/>
        <w:sz w:val="18"/>
        <w:lang w:val="hu-HU"/>
      </w:rPr>
      <w:t xml:space="preserve"> -</w:t>
    </w:r>
    <w:r w:rsidR="00A45C00">
      <w:rPr>
        <w:rFonts w:ascii="Times New Roman" w:hAnsi="Times New Roman" w:cs="Times New Roman"/>
        <w:sz w:val="18"/>
        <w:lang w:val="hu-HU"/>
      </w:rPr>
      <w:t xml:space="preserve"> 3</w:t>
    </w:r>
    <w:r w:rsidR="005259ED" w:rsidRPr="004115C3">
      <w:rPr>
        <w:rFonts w:ascii="Times New Roman" w:hAnsi="Times New Roman" w:cs="Times New Roman"/>
        <w:sz w:val="18"/>
        <w:lang w:val="hu-HU"/>
      </w:rPr>
      <w:t xml:space="preserve">. </w:t>
    </w:r>
    <w:r w:rsidR="004115C3" w:rsidRPr="004115C3">
      <w:rPr>
        <w:rFonts w:ascii="Times New Roman" w:hAnsi="Times New Roman" w:cs="Times New Roman"/>
        <w:sz w:val="18"/>
        <w:lang w:val="hu-HU"/>
      </w:rPr>
      <w:t>h</w:t>
    </w:r>
    <w:r w:rsidR="005259ED" w:rsidRPr="004115C3">
      <w:rPr>
        <w:rFonts w:ascii="Times New Roman" w:hAnsi="Times New Roman" w:cs="Times New Roman"/>
        <w:sz w:val="18"/>
        <w:lang w:val="hu-HU"/>
      </w:rPr>
      <w:t>ázi feladat</w:t>
    </w:r>
    <w:r w:rsidR="005259ED" w:rsidRPr="004115C3">
      <w:rPr>
        <w:rFonts w:ascii="Times New Roman" w:hAnsi="Times New Roman" w:cs="Times New Roman"/>
        <w:sz w:val="18"/>
        <w:lang w:val="hu-HU"/>
      </w:rPr>
      <w:tab/>
    </w:r>
    <w:r w:rsidR="004C7057">
      <w:rPr>
        <w:rFonts w:ascii="Times New Roman" w:hAnsi="Times New Roman" w:cs="Times New Roman"/>
        <w:sz w:val="18"/>
        <w:lang w:val="hu-HU"/>
      </w:rPr>
      <w:t xml:space="preserve">              </w:t>
    </w:r>
    <w:r w:rsidR="005259ED" w:rsidRPr="004115C3">
      <w:rPr>
        <w:rFonts w:ascii="Times New Roman" w:hAnsi="Times New Roman" w:cs="Times New Roman"/>
        <w:sz w:val="18"/>
        <w:lang w:val="hu-HU"/>
      </w:rPr>
      <w:tab/>
    </w:r>
    <w:r w:rsidR="005259ED" w:rsidRPr="004115C3">
      <w:rPr>
        <w:rFonts w:ascii="Times New Roman" w:hAnsi="Times New Roman" w:cs="Times New Roman"/>
        <w:sz w:val="18"/>
        <w:lang w:val="hu-HU"/>
      </w:rPr>
      <w:tab/>
    </w:r>
    <w:r w:rsidR="004C7057">
      <w:rPr>
        <w:rFonts w:ascii="Times New Roman" w:hAnsi="Times New Roman" w:cs="Times New Roman"/>
        <w:sz w:val="18"/>
        <w:lang w:val="hu-HU"/>
      </w:rPr>
      <w:t xml:space="preserve">          </w:t>
    </w:r>
    <w:r w:rsidRPr="004115C3">
      <w:rPr>
        <w:rFonts w:ascii="Times New Roman" w:hAnsi="Times New Roman" w:cs="Times New Roman"/>
        <w:sz w:val="18"/>
        <w:lang w:val="hu-HU"/>
      </w:rPr>
      <w:t>Selmeczi-Tóth</w:t>
    </w:r>
    <w:r w:rsidR="005259ED" w:rsidRPr="004115C3">
      <w:rPr>
        <w:rFonts w:ascii="Times New Roman" w:hAnsi="Times New Roman" w:cs="Times New Roman"/>
        <w:sz w:val="18"/>
        <w:lang w:val="hu-HU"/>
      </w:rPr>
      <w:t xml:space="preserve"> Ádám</w:t>
    </w:r>
    <w:r w:rsidR="00C445D9" w:rsidRPr="004115C3">
      <w:rPr>
        <w:rFonts w:ascii="Times New Roman" w:hAnsi="Times New Roman" w:cs="Times New Roman"/>
        <w:sz w:val="18"/>
        <w:lang w:val="hu-HU"/>
      </w:rPr>
      <w:t xml:space="preserve"> (</w:t>
    </w:r>
    <w:r w:rsidR="00FD3582">
      <w:rPr>
        <w:rFonts w:ascii="Times New Roman" w:hAnsi="Times New Roman" w:cs="Times New Roman"/>
        <w:sz w:val="18"/>
        <w:lang w:val="hu-HU"/>
      </w:rPr>
      <w:t>UP6MOJ</w:t>
    </w:r>
    <w:r w:rsidR="00C445D9" w:rsidRPr="004115C3">
      <w:rPr>
        <w:rFonts w:ascii="Times New Roman" w:hAnsi="Times New Roman" w:cs="Times New Roman"/>
        <w:sz w:val="18"/>
        <w:lang w:val="hu-HU"/>
      </w:rPr>
      <w:t>) és Juhász Kristóf</w:t>
    </w:r>
    <w:r w:rsidR="005259ED" w:rsidRPr="004115C3">
      <w:rPr>
        <w:rFonts w:ascii="Times New Roman" w:hAnsi="Times New Roman" w:cs="Times New Roman"/>
        <w:sz w:val="18"/>
        <w:lang w:val="hu-HU"/>
      </w:rPr>
      <w:t xml:space="preserve"> </w:t>
    </w:r>
    <w:r w:rsidR="00C445D9" w:rsidRPr="004115C3">
      <w:rPr>
        <w:rFonts w:ascii="Times New Roman" w:hAnsi="Times New Roman" w:cs="Times New Roman"/>
        <w:sz w:val="18"/>
        <w:lang w:val="hu-HU"/>
      </w:rPr>
      <w:t>(FM9AGF)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11745"/>
    <w:multiLevelType w:val="hybridMultilevel"/>
    <w:tmpl w:val="E3584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684"/>
    <w:rsid w:val="0000270D"/>
    <w:rsid w:val="00021863"/>
    <w:rsid w:val="00031119"/>
    <w:rsid w:val="0005209B"/>
    <w:rsid w:val="00065941"/>
    <w:rsid w:val="00066496"/>
    <w:rsid w:val="00067F17"/>
    <w:rsid w:val="00073B00"/>
    <w:rsid w:val="00080CCE"/>
    <w:rsid w:val="00090D39"/>
    <w:rsid w:val="000936A7"/>
    <w:rsid w:val="00097924"/>
    <w:rsid w:val="000B2989"/>
    <w:rsid w:val="000D34ED"/>
    <w:rsid w:val="000F0115"/>
    <w:rsid w:val="001046B0"/>
    <w:rsid w:val="001113BD"/>
    <w:rsid w:val="00115C9E"/>
    <w:rsid w:val="00130645"/>
    <w:rsid w:val="00134375"/>
    <w:rsid w:val="00162729"/>
    <w:rsid w:val="00167CC4"/>
    <w:rsid w:val="001706B6"/>
    <w:rsid w:val="00187054"/>
    <w:rsid w:val="001A263A"/>
    <w:rsid w:val="001B2595"/>
    <w:rsid w:val="001D0D75"/>
    <w:rsid w:val="001D39B7"/>
    <w:rsid w:val="001D648D"/>
    <w:rsid w:val="001E1F8C"/>
    <w:rsid w:val="00222E87"/>
    <w:rsid w:val="00225EF4"/>
    <w:rsid w:val="00246B58"/>
    <w:rsid w:val="00280888"/>
    <w:rsid w:val="00286FD7"/>
    <w:rsid w:val="00293171"/>
    <w:rsid w:val="00296AED"/>
    <w:rsid w:val="002A203C"/>
    <w:rsid w:val="002B0585"/>
    <w:rsid w:val="002D56F3"/>
    <w:rsid w:val="00313E70"/>
    <w:rsid w:val="00316532"/>
    <w:rsid w:val="0032059E"/>
    <w:rsid w:val="0032467E"/>
    <w:rsid w:val="00334E04"/>
    <w:rsid w:val="0034257D"/>
    <w:rsid w:val="003430E7"/>
    <w:rsid w:val="00351D4F"/>
    <w:rsid w:val="00363360"/>
    <w:rsid w:val="003859A2"/>
    <w:rsid w:val="003A2251"/>
    <w:rsid w:val="003B2DD7"/>
    <w:rsid w:val="003B3044"/>
    <w:rsid w:val="003D6186"/>
    <w:rsid w:val="00400E49"/>
    <w:rsid w:val="00407C70"/>
    <w:rsid w:val="004115C3"/>
    <w:rsid w:val="00417D5F"/>
    <w:rsid w:val="00420DEC"/>
    <w:rsid w:val="00421678"/>
    <w:rsid w:val="00422505"/>
    <w:rsid w:val="00433266"/>
    <w:rsid w:val="00454746"/>
    <w:rsid w:val="004654B5"/>
    <w:rsid w:val="00476B4D"/>
    <w:rsid w:val="00476D28"/>
    <w:rsid w:val="0048357D"/>
    <w:rsid w:val="00490F95"/>
    <w:rsid w:val="004A10CF"/>
    <w:rsid w:val="004A11CE"/>
    <w:rsid w:val="004A3134"/>
    <w:rsid w:val="004A40E2"/>
    <w:rsid w:val="004B74E3"/>
    <w:rsid w:val="004C7057"/>
    <w:rsid w:val="004D0E12"/>
    <w:rsid w:val="004D206F"/>
    <w:rsid w:val="004D571B"/>
    <w:rsid w:val="004F0BC5"/>
    <w:rsid w:val="00505F1C"/>
    <w:rsid w:val="00514F07"/>
    <w:rsid w:val="00515D3E"/>
    <w:rsid w:val="00516A96"/>
    <w:rsid w:val="00521E9C"/>
    <w:rsid w:val="00524132"/>
    <w:rsid w:val="005259ED"/>
    <w:rsid w:val="005535DD"/>
    <w:rsid w:val="00556034"/>
    <w:rsid w:val="00560313"/>
    <w:rsid w:val="005804F6"/>
    <w:rsid w:val="0059082F"/>
    <w:rsid w:val="005A6C25"/>
    <w:rsid w:val="005B1CC2"/>
    <w:rsid w:val="005B790C"/>
    <w:rsid w:val="005E0A93"/>
    <w:rsid w:val="005E63FE"/>
    <w:rsid w:val="00603D36"/>
    <w:rsid w:val="00606902"/>
    <w:rsid w:val="006268FC"/>
    <w:rsid w:val="00674B26"/>
    <w:rsid w:val="00680C8F"/>
    <w:rsid w:val="006A3072"/>
    <w:rsid w:val="006A6835"/>
    <w:rsid w:val="006B0243"/>
    <w:rsid w:val="006D39AA"/>
    <w:rsid w:val="006D49AA"/>
    <w:rsid w:val="006E7B40"/>
    <w:rsid w:val="00700BB1"/>
    <w:rsid w:val="00724A43"/>
    <w:rsid w:val="007434D0"/>
    <w:rsid w:val="0078288D"/>
    <w:rsid w:val="00785302"/>
    <w:rsid w:val="00797F39"/>
    <w:rsid w:val="007A2179"/>
    <w:rsid w:val="007E6772"/>
    <w:rsid w:val="007F216A"/>
    <w:rsid w:val="007F23FA"/>
    <w:rsid w:val="00831D50"/>
    <w:rsid w:val="00850143"/>
    <w:rsid w:val="00861FCF"/>
    <w:rsid w:val="00866777"/>
    <w:rsid w:val="00895524"/>
    <w:rsid w:val="008C3529"/>
    <w:rsid w:val="008E200B"/>
    <w:rsid w:val="008E3A31"/>
    <w:rsid w:val="008E54E6"/>
    <w:rsid w:val="0091592F"/>
    <w:rsid w:val="0091791A"/>
    <w:rsid w:val="00925A9E"/>
    <w:rsid w:val="00935720"/>
    <w:rsid w:val="009370B1"/>
    <w:rsid w:val="009656C1"/>
    <w:rsid w:val="009676DB"/>
    <w:rsid w:val="00970CF1"/>
    <w:rsid w:val="00976CEB"/>
    <w:rsid w:val="00987460"/>
    <w:rsid w:val="009A0FFF"/>
    <w:rsid w:val="009C04BA"/>
    <w:rsid w:val="009C2F44"/>
    <w:rsid w:val="009D75B6"/>
    <w:rsid w:val="00A0377C"/>
    <w:rsid w:val="00A11B87"/>
    <w:rsid w:val="00A213F0"/>
    <w:rsid w:val="00A31516"/>
    <w:rsid w:val="00A32826"/>
    <w:rsid w:val="00A3755F"/>
    <w:rsid w:val="00A418B6"/>
    <w:rsid w:val="00A45C00"/>
    <w:rsid w:val="00A618D6"/>
    <w:rsid w:val="00A64F43"/>
    <w:rsid w:val="00A706F7"/>
    <w:rsid w:val="00A80684"/>
    <w:rsid w:val="00AA20D9"/>
    <w:rsid w:val="00AA7208"/>
    <w:rsid w:val="00AB0C23"/>
    <w:rsid w:val="00AD0EC0"/>
    <w:rsid w:val="00AD70E0"/>
    <w:rsid w:val="00B00359"/>
    <w:rsid w:val="00B074F0"/>
    <w:rsid w:val="00B17B4B"/>
    <w:rsid w:val="00B25552"/>
    <w:rsid w:val="00B27711"/>
    <w:rsid w:val="00B31532"/>
    <w:rsid w:val="00B4147D"/>
    <w:rsid w:val="00B57BE6"/>
    <w:rsid w:val="00B77CF1"/>
    <w:rsid w:val="00B82FFA"/>
    <w:rsid w:val="00B83CD3"/>
    <w:rsid w:val="00B94C3B"/>
    <w:rsid w:val="00BA4107"/>
    <w:rsid w:val="00BB696B"/>
    <w:rsid w:val="00BC21C5"/>
    <w:rsid w:val="00BF7764"/>
    <w:rsid w:val="00C0590A"/>
    <w:rsid w:val="00C143B5"/>
    <w:rsid w:val="00C15A32"/>
    <w:rsid w:val="00C445D9"/>
    <w:rsid w:val="00C56638"/>
    <w:rsid w:val="00C82388"/>
    <w:rsid w:val="00C82734"/>
    <w:rsid w:val="00C90826"/>
    <w:rsid w:val="00CA6251"/>
    <w:rsid w:val="00CB17C4"/>
    <w:rsid w:val="00CC2C39"/>
    <w:rsid w:val="00CC5BE8"/>
    <w:rsid w:val="00CD4E69"/>
    <w:rsid w:val="00D028B3"/>
    <w:rsid w:val="00D05E8C"/>
    <w:rsid w:val="00D17662"/>
    <w:rsid w:val="00D470C5"/>
    <w:rsid w:val="00D63141"/>
    <w:rsid w:val="00D649BB"/>
    <w:rsid w:val="00D66140"/>
    <w:rsid w:val="00D72E8D"/>
    <w:rsid w:val="00DA7E2E"/>
    <w:rsid w:val="00E10746"/>
    <w:rsid w:val="00E13005"/>
    <w:rsid w:val="00E15DFB"/>
    <w:rsid w:val="00E27F4E"/>
    <w:rsid w:val="00E31377"/>
    <w:rsid w:val="00E40B66"/>
    <w:rsid w:val="00E553BE"/>
    <w:rsid w:val="00E6298A"/>
    <w:rsid w:val="00E8520A"/>
    <w:rsid w:val="00E85A04"/>
    <w:rsid w:val="00E9067C"/>
    <w:rsid w:val="00E95C67"/>
    <w:rsid w:val="00E96AE5"/>
    <w:rsid w:val="00EB47B8"/>
    <w:rsid w:val="00EE24D2"/>
    <w:rsid w:val="00EF01EE"/>
    <w:rsid w:val="00EF187D"/>
    <w:rsid w:val="00EF6796"/>
    <w:rsid w:val="00F17A17"/>
    <w:rsid w:val="00F358CB"/>
    <w:rsid w:val="00F46D65"/>
    <w:rsid w:val="00F51109"/>
    <w:rsid w:val="00F55406"/>
    <w:rsid w:val="00F57DCA"/>
    <w:rsid w:val="00F65CE2"/>
    <w:rsid w:val="00FD3582"/>
    <w:rsid w:val="00FD6EAD"/>
    <w:rsid w:val="00FE179B"/>
    <w:rsid w:val="00FF5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D5F2F"/>
  <w15:docId w15:val="{32D807EE-B832-415E-84A9-9385CBD24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A3072"/>
    <w:pPr>
      <w:tabs>
        <w:tab w:val="center" w:pos="4703"/>
        <w:tab w:val="right" w:pos="9406"/>
      </w:tabs>
      <w:spacing w:line="240" w:lineRule="auto"/>
    </w:pPr>
  </w:style>
  <w:style w:type="character" w:customStyle="1" w:styleId="HeaderChar">
    <w:name w:val="Header Char"/>
    <w:basedOn w:val="DefaultParagraphFont"/>
    <w:link w:val="Header"/>
    <w:uiPriority w:val="99"/>
    <w:rsid w:val="006A3072"/>
  </w:style>
  <w:style w:type="paragraph" w:styleId="Footer">
    <w:name w:val="footer"/>
    <w:basedOn w:val="Normal"/>
    <w:link w:val="FooterChar"/>
    <w:uiPriority w:val="99"/>
    <w:unhideWhenUsed/>
    <w:rsid w:val="006A3072"/>
    <w:pPr>
      <w:tabs>
        <w:tab w:val="center" w:pos="4703"/>
        <w:tab w:val="right" w:pos="9406"/>
      </w:tabs>
      <w:spacing w:line="240" w:lineRule="auto"/>
    </w:pPr>
  </w:style>
  <w:style w:type="character" w:customStyle="1" w:styleId="FooterChar">
    <w:name w:val="Footer Char"/>
    <w:basedOn w:val="DefaultParagraphFont"/>
    <w:link w:val="Footer"/>
    <w:uiPriority w:val="99"/>
    <w:rsid w:val="006A3072"/>
  </w:style>
  <w:style w:type="paragraph" w:styleId="ListParagraph">
    <w:name w:val="List Paragraph"/>
    <w:basedOn w:val="Normal"/>
    <w:uiPriority w:val="34"/>
    <w:qFormat/>
    <w:rsid w:val="004115C3"/>
    <w:pPr>
      <w:ind w:left="720"/>
      <w:contextualSpacing/>
    </w:pPr>
  </w:style>
  <w:style w:type="table" w:styleId="TableGrid">
    <w:name w:val="Table Grid"/>
    <w:basedOn w:val="TableNormal"/>
    <w:uiPriority w:val="39"/>
    <w:rsid w:val="00603D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4C3B"/>
    <w:rPr>
      <w:color w:val="0000FF" w:themeColor="hyperlink"/>
      <w:u w:val="single"/>
    </w:rPr>
  </w:style>
  <w:style w:type="character" w:styleId="UnresolvedMention">
    <w:name w:val="Unresolved Mention"/>
    <w:basedOn w:val="DefaultParagraphFont"/>
    <w:uiPriority w:val="99"/>
    <w:semiHidden/>
    <w:unhideWhenUsed/>
    <w:rsid w:val="00B94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302135">
      <w:bodyDiv w:val="1"/>
      <w:marLeft w:val="0"/>
      <w:marRight w:val="0"/>
      <w:marTop w:val="0"/>
      <w:marBottom w:val="0"/>
      <w:divBdr>
        <w:top w:val="none" w:sz="0" w:space="0" w:color="auto"/>
        <w:left w:val="none" w:sz="0" w:space="0" w:color="auto"/>
        <w:bottom w:val="none" w:sz="0" w:space="0" w:color="auto"/>
        <w:right w:val="none" w:sz="0" w:space="0" w:color="auto"/>
      </w:divBdr>
    </w:div>
    <w:div w:id="1644654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selmeczia/empirical_finance_course/tree/master/3_h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C3A2C-1991-4AC0-BA3C-139D47CC3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6</Pages>
  <Words>1455</Words>
  <Characters>10044</Characters>
  <Application>Microsoft Office Word</Application>
  <DocSecurity>0</DocSecurity>
  <Lines>83</Lines>
  <Paragraphs>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Kristóf Juhász</dc:creator>
  <cp:lastModifiedBy>Selmeczi-toth, Adam</cp:lastModifiedBy>
  <cp:revision>182</cp:revision>
  <cp:lastPrinted>2020-04-19T21:14:00Z</cp:lastPrinted>
  <dcterms:created xsi:type="dcterms:W3CDTF">2020-04-19T21:14:00Z</dcterms:created>
  <dcterms:modified xsi:type="dcterms:W3CDTF">2020-11-09T11:23:00Z</dcterms:modified>
</cp:coreProperties>
</file>