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right"/>
      </w:pPr>
      <w:r>
        <w:rPr>
          <w:rFonts w:ascii="Calibri" w:cs="Calibri" w:eastAsia="Calibri" w:hAnsi="Calibri"/>
          <w:color w:val="5A6560"/>
          <w:sz w:val="20"/>
          <w:szCs w:val="20"/>
        </w:rPr>
        <w:t xml:space="preserve">Department of Computer Science</w:t>
      </w:r>
    </w:p>
    <w:p>
      <w:pPr>
        <w:spacing w:after="60"/>
        <w:jc w:val="right"/>
      </w:pPr>
      <w:r>
        <w:rPr>
          <w:rFonts w:ascii="Calibri" w:cs="Calibri" w:eastAsia="Calibri" w:hAnsi="Calibri"/>
          <w:color w:val="5A6560"/>
          <w:sz w:val="20"/>
          <w:szCs w:val="20"/>
        </w:rPr>
        <w:t xml:space="preserve">Kwame Nkrumah University of Science and Technology</w:t>
      </w:r>
    </w:p>
    <w:p>
      <w:pPr>
        <w:spacing w:after="360"/>
        <w:jc w:val="right"/>
      </w:pPr>
      <w:r>
        <w:rPr>
          <w:rFonts w:ascii="Calibri" w:cs="Calibri" w:eastAsia="Calibri" w:hAnsi="Calibri"/>
          <w:color w:val="5A6560"/>
          <w:sz w:val="20"/>
          <w:szCs w:val="20"/>
        </w:rPr>
        <w:t xml:space="preserve">Kumasi, Ghana</w:t>
      </w:r>
    </w:p>
    <w:p>
      <w:pPr>
        <w:spacing w:after="320" w:line="288"/>
        <w:jc w:val="left"/>
      </w:pPr>
      <w:r>
        <w:rPr>
          <w:rFonts w:ascii="Calibri" w:cs="Calibri" w:eastAsia="Calibri" w:hAnsi="Calibri"/>
          <w:color w:val="5A6560"/>
          <w:sz w:val="22"/>
          <w:szCs w:val="22"/>
        </w:rPr>
        <w:t xml:space="preserve">Date: ______________________</w:t>
      </w:r>
    </w:p>
    <w:p>
      <w:pPr>
        <w:spacing w:after="40" w:line="288"/>
        <w:jc w:val="left"/>
      </w:pPr>
      <w:r>
        <w:rPr>
          <w:rFonts w:ascii="Calibri" w:cs="Calibri" w:eastAsia="Calibri" w:hAnsi="Calibri"/>
          <w:b/>
          <w:bCs/>
          <w:color w:val="191C1D"/>
          <w:sz w:val="22"/>
          <w:szCs w:val="22"/>
        </w:rPr>
        <w:t xml:space="preserve">The University Librarian</w:t>
      </w:r>
    </w:p>
    <w:p>
      <w:pPr>
        <w:spacing w:after="40" w:line="288"/>
        <w:jc w:val="left"/>
      </w:pPr>
      <w:r>
        <w:rPr>
          <w:rFonts w:ascii="Calibri" w:cs="Calibri" w:eastAsia="Calibri" w:hAnsi="Calibri"/>
          <w:color w:val="191C1D"/>
          <w:sz w:val="22"/>
          <w:szCs w:val="22"/>
        </w:rPr>
        <w:t xml:space="preserve">KNUST University Library System</w:t>
      </w:r>
    </w:p>
    <w:p>
      <w:pPr>
        <w:spacing w:after="300" w:line="288"/>
        <w:jc w:val="left"/>
      </w:pPr>
      <w:r>
        <w:rPr>
          <w:rFonts w:ascii="Calibri" w:cs="Calibri" w:eastAsia="Calibri" w:hAnsi="Calibri"/>
          <w:color w:val="191C1D"/>
          <w:sz w:val="22"/>
          <w:szCs w:val="22"/>
        </w:rPr>
        <w:t xml:space="preserve">Kwame Nkrumah University of Science and Technology</w:t>
      </w:r>
    </w:p>
    <w:p>
      <w:pPr>
        <w:spacing w:after="220" w:line="288"/>
        <w:jc w:val="left"/>
      </w:pPr>
      <w:r>
        <w:rPr>
          <w:rFonts w:ascii="Calibri" w:cs="Calibri" w:eastAsia="Calibri" w:hAnsi="Calibri"/>
          <w:color w:val="191C1D"/>
          <w:sz w:val="22"/>
          <w:szCs w:val="22"/>
        </w:rPr>
        <w:t xml:space="preserve">Dear Sir/Madam,</w:t>
      </w:r>
    </w:p>
    <w:p>
      <w:pPr>
        <w:spacing w:after="220"/>
      </w:pPr>
      <w:r>
        <w:rPr>
          <w:rFonts w:ascii="Calibri" w:cs="Calibri" w:eastAsia="Calibri" w:hAnsi="Calibri"/>
          <w:b/>
          <w:bCs/>
          <w:color w:val="191C1D"/>
          <w:sz w:val="22"/>
          <w:szCs w:val="22"/>
        </w:rPr>
        <w:t xml:space="preserve">SYSTEMS PROPOSAL: TAMEION — AN AUTOMATED LIBRARY MANAGEMENT SYSTEM</w:t>
      </w:r>
    </w:p>
    <w:p>
      <w:pPr>
        <w:spacing w:after="140" w:line="288"/>
        <w:jc w:val="both"/>
      </w:pPr>
      <w:r>
        <w:rPr>
          <w:rFonts w:ascii="Calibri" w:cs="Calibri" w:eastAsia="Calibri" w:hAnsi="Calibri"/>
          <w:color w:val="191C1D"/>
          <w:sz w:val="22"/>
          <w:szCs w:val="22"/>
        </w:rPr>
        <w:t xml:space="preserve">We are pleased to submit the enclosed systems proposal for Tameion, an automated library management system developed for the KNUST University Library System. The proposal is the outcome of a systems study of current library circulation practice, carried out as part of our Systems Analysis and Design coursework.</w:t>
      </w:r>
    </w:p>
    <w:p>
      <w:pPr>
        <w:spacing w:after="140" w:line="288"/>
        <w:jc w:val="both"/>
      </w:pPr>
      <w:r>
        <w:rPr>
          <w:rFonts w:ascii="Calibri" w:cs="Calibri" w:eastAsia="Calibri" w:hAnsi="Calibri"/>
          <w:color w:val="191C1D"/>
          <w:sz w:val="22"/>
          <w:szCs w:val="22"/>
        </w:rPr>
        <w:t xml:space="preserve">The study examined how books are currently catalogued, issued, returned and fined for across the University's branch libraries. It identified six recurring problems, the most significant being that patrons cannot determine the availability of a title without physically visiting a library, and that fines are calculated by hand and are therefore slow and prone to error.</w:t>
      </w:r>
    </w:p>
    <w:p>
      <w:pPr>
        <w:spacing w:after="140" w:line="288"/>
        <w:jc w:val="both"/>
      </w:pPr>
      <w:r>
        <w:rPr>
          <w:rFonts w:ascii="Calibri" w:cs="Calibri" w:eastAsia="Calibri" w:hAnsi="Calibri"/>
          <w:color w:val="191C1D"/>
          <w:sz w:val="22"/>
          <w:szCs w:val="22"/>
        </w:rPr>
        <w:t xml:space="preserve">Three alternatives were evaluated against the technical, economic and operational feasibility criteria: retaining the present arrangement, procuring a commercial integrated library system, and developing a purpose-built web application. Our recommendation is the third, and a complete working prototype has already been built and independently verified to support that recommendation. It is not a mock-up; it runs, and the evidence of its correctness is set out in Appendix A.</w:t>
      </w:r>
    </w:p>
    <w:p>
      <w:pPr>
        <w:spacing w:after="140" w:line="288"/>
        <w:jc w:val="both"/>
      </w:pPr>
      <w:r>
        <w:rPr>
          <w:rFonts w:ascii="Calibri" w:cs="Calibri" w:eastAsia="Calibri" w:hAnsi="Calibri"/>
          <w:color w:val="191C1D"/>
          <w:sz w:val="22"/>
          <w:szCs w:val="22"/>
        </w:rPr>
        <w:t xml:space="preserve">We would welcome the opportunity to demonstrate the system to you and to your circulation staff, and to discuss the phased implementation set out in Section 8.</w:t>
      </w:r>
    </w:p>
    <w:p>
      <w:pPr>
        <w:spacing w:after="240"/>
      </w:pPr>
    </w:p>
    <w:p>
      <w:pPr>
        <w:spacing w:after="460" w:line="288"/>
        <w:jc w:val="left"/>
      </w:pPr>
      <w:r>
        <w:rPr>
          <w:rFonts w:ascii="Calibri" w:cs="Calibri" w:eastAsia="Calibri" w:hAnsi="Calibri"/>
          <w:color w:val="191C1D"/>
          <w:sz w:val="22"/>
          <w:szCs w:val="22"/>
        </w:rPr>
        <w:t xml:space="preserve">Yours faithfully,</w:t>
      </w:r>
    </w:p>
    <w:p>
      <w:pPr>
        <w:spacing w:after="60" w:line="288"/>
        <w:jc w:val="left"/>
      </w:pPr>
      <w:r>
        <w:rPr>
          <w:rFonts w:ascii="Calibri" w:cs="Calibri" w:eastAsia="Calibri" w:hAnsi="Calibri"/>
          <w:color w:val="191C1D"/>
          <w:sz w:val="22"/>
          <w:szCs w:val="22"/>
        </w:rPr>
        <w:t xml:space="preserve">__________________________________</w:t>
      </w:r>
    </w:p>
    <w:p>
      <w:pPr>
        <w:spacing w:after="40" w:line="288"/>
        <w:jc w:val="left"/>
      </w:pPr>
      <w:r>
        <w:rPr>
          <w:rFonts w:ascii="Calibri" w:cs="Calibri" w:eastAsia="Calibri" w:hAnsi="Calibri"/>
          <w:color w:val="5A6560"/>
          <w:sz w:val="20"/>
          <w:szCs w:val="20"/>
        </w:rPr>
        <w:t xml:space="preserve">For and on behalf of the Tameion project team</w:t>
      </w:r>
    </w:p>
    <w:p>
      <w:pPr>
        <w:spacing w:after="140" w:line="288"/>
        <w:jc w:val="left"/>
      </w:pPr>
      <w:r>
        <w:rPr>
          <w:rFonts w:ascii="Calibri" w:cs="Calibri" w:eastAsia="Calibri" w:hAnsi="Calibri"/>
          <w:color w:val="5A6560"/>
          <w:sz w:val="20"/>
          <w:szCs w:val="20"/>
        </w:rPr>
        <w:t xml:space="preserve">Department of Computer Science, KNUST</w:t>
      </w:r>
    </w:p>
    <w:p>
      <w:r>
        <w:br w:type="page"/>
      </w:r>
    </w:p>
    <w:p>
      <w:pPr>
        <w:spacing w:after="900"/>
      </w:pPr>
    </w:p>
    <w:p>
      <w:pPr>
        <w:spacing w:after="120"/>
        <w:jc w:val="center"/>
      </w:pPr>
      <w:r>
        <w:rPr>
          <w:rFonts w:ascii="Calibri" w:cs="Calibri" w:eastAsia="Calibri" w:hAnsi="Calibri"/>
          <w:b/>
          <w:bCs/>
          <w:color w:val="5A6560"/>
          <w:spacing w:val="60"/>
          <w:sz w:val="26"/>
          <w:szCs w:val="26"/>
        </w:rPr>
        <w:t xml:space="preserve">SYSTEMS PROPOSAL</w:t>
      </w:r>
    </w:p>
    <w:p>
      <w:pPr>
        <w:spacing w:after="100"/>
        <w:jc w:val="center"/>
      </w:pPr>
      <w:r>
        <w:rPr>
          <w:rFonts w:ascii="Calibri" w:cs="Calibri" w:eastAsia="Calibri" w:hAnsi="Calibri"/>
          <w:b/>
          <w:bCs/>
          <w:color w:val="00652C"/>
          <w:spacing w:val="70"/>
          <w:sz w:val="68"/>
          <w:szCs w:val="68"/>
        </w:rPr>
        <w:t xml:space="preserve">TAMEION</w:t>
      </w:r>
    </w:p>
    <w:p>
      <w:pPr>
        <w:pBdr>
          <w:bottom w:val="single" w:color="00652C" w:sz="8" w:space="12"/>
        </w:pBdr>
        <w:spacing w:after="500"/>
        <w:jc w:val="center"/>
      </w:pPr>
      <w:r>
        <w:rPr>
          <w:rFonts w:ascii="Calibri" w:cs="Calibri" w:eastAsia="Calibri" w:hAnsi="Calibri"/>
          <w:color w:val="191C1D"/>
          <w:sz w:val="26"/>
          <w:szCs w:val="26"/>
        </w:rPr>
        <w:t xml:space="preserve">An Automated Library Management System for the KNUST University Library</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2600"/>
        <w:gridCol w:w="6420"/>
      </w:tblGrid>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Prepared for</w:t>
            </w:r>
          </w:p>
        </w:tc>
        <w:tc>
          <w:tcPr>
            <w:tcW w:type="dxa" w:w="6420"/>
            <w:tcMar>
              <w:top w:type="dxa" w:w="85"/>
              <w:left w:type="dxa" w:w="120"/>
              <w:bottom w:type="dxa" w:w="85"/>
              <w:right w:type="dxa" w:w="120"/>
            </w:tcMar>
            <w:vAlign w:val="top"/>
          </w:tcPr>
          <w:p>
            <w:pPr>
              <w:spacing w:after="40" w:line="260"/>
            </w:pPr>
            <w:r>
              <w:rPr>
                <w:rFonts w:ascii="Calibri" w:cs="Calibri" w:eastAsia="Calibri" w:hAnsi="Calibri"/>
                <w:b w:val="false"/>
                <w:bCs w:val="false"/>
                <w:color w:val="191C1D"/>
                <w:sz w:val="19"/>
                <w:szCs w:val="19"/>
              </w:rPr>
              <w:t xml:space="preserve">The University Librarian</w:t>
            </w:r>
          </w:p>
          <w:p>
            <w:pPr>
              <w:spacing w:after="0" w:line="260"/>
            </w:pPr>
            <w:r>
              <w:rPr>
                <w:rFonts w:ascii="Calibri" w:cs="Calibri" w:eastAsia="Calibri" w:hAnsi="Calibri"/>
                <w:b w:val="false"/>
                <w:bCs w:val="false"/>
                <w:color w:val="191C1D"/>
                <w:sz w:val="19"/>
                <w:szCs w:val="19"/>
              </w:rPr>
              <w:t xml:space="preserve">KNUST University Library System</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Prepared by</w:t>
            </w:r>
          </w:p>
        </w:tc>
        <w:tc>
          <w:tcPr>
            <w:tcW w:type="dxa" w:w="6420"/>
            <w:tcMar>
              <w:top w:type="dxa" w:w="85"/>
              <w:left w:type="dxa" w:w="120"/>
              <w:bottom w:type="dxa" w:w="85"/>
              <w:right w:type="dxa" w:w="120"/>
            </w:tcMar>
            <w:vAlign w:val="top"/>
          </w:tcPr>
          <w:p>
            <w:pPr>
              <w:spacing w:after="40" w:line="260"/>
            </w:pPr>
            <w:r>
              <w:rPr>
                <w:rFonts w:ascii="Calibri" w:cs="Calibri" w:eastAsia="Calibri" w:hAnsi="Calibri"/>
                <w:b w:val="false"/>
                <w:bCs w:val="false"/>
                <w:color w:val="191C1D"/>
                <w:sz w:val="19"/>
                <w:szCs w:val="19"/>
              </w:rPr>
              <w:t xml:space="preserve">The Tameion Project Team</w:t>
            </w:r>
          </w:p>
          <w:p>
            <w:pPr>
              <w:spacing w:after="0" w:line="260"/>
            </w:pPr>
            <w:r>
              <w:rPr>
                <w:rFonts w:ascii="Calibri" w:cs="Calibri" w:eastAsia="Calibri" w:hAnsi="Calibri"/>
                <w:b w:val="false"/>
                <w:bCs w:val="false"/>
                <w:color w:val="191C1D"/>
                <w:sz w:val="19"/>
                <w:szCs w:val="19"/>
              </w:rPr>
              <w:t xml:space="preserve">Department of Computer Science, KNUST</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Team members</w:t>
            </w:r>
          </w:p>
        </w:tc>
        <w:tc>
          <w:tcPr>
            <w:tcW w:type="dxa" w:w="6420"/>
            <w:tcMar>
              <w:top w:type="dxa" w:w="85"/>
              <w:left w:type="dxa" w:w="120"/>
              <w:bottom w:type="dxa" w:w="85"/>
              <w:right w:type="dxa" w:w="120"/>
            </w:tcMar>
            <w:vAlign w:val="top"/>
          </w:tcPr>
          <w:p>
            <w:pPr>
              <w:spacing w:after="40" w:line="260"/>
            </w:pPr>
            <w:r>
              <w:rPr>
                <w:rFonts w:ascii="Calibri" w:cs="Calibri" w:eastAsia="Calibri" w:hAnsi="Calibri"/>
                <w:b w:val="false"/>
                <w:bCs w:val="false"/>
                <w:color w:val="191C1D"/>
                <w:sz w:val="19"/>
                <w:szCs w:val="19"/>
              </w:rPr>
              <w:t xml:space="preserve">1. ______________________________    Index No. ______________</w:t>
            </w:r>
          </w:p>
          <w:p>
            <w:pPr>
              <w:spacing w:after="40" w:line="260"/>
            </w:pPr>
            <w:r>
              <w:rPr>
                <w:rFonts w:ascii="Calibri" w:cs="Calibri" w:eastAsia="Calibri" w:hAnsi="Calibri"/>
                <w:b w:val="false"/>
                <w:bCs w:val="false"/>
                <w:color w:val="191C1D"/>
                <w:sz w:val="19"/>
                <w:szCs w:val="19"/>
              </w:rPr>
              <w:t xml:space="preserve">2. ______________________________    Index No. ______________</w:t>
            </w:r>
          </w:p>
          <w:p>
            <w:pPr>
              <w:spacing w:after="40" w:line="260"/>
            </w:pPr>
            <w:r>
              <w:rPr>
                <w:rFonts w:ascii="Calibri" w:cs="Calibri" w:eastAsia="Calibri" w:hAnsi="Calibri"/>
                <w:b w:val="false"/>
                <w:bCs w:val="false"/>
                <w:color w:val="191C1D"/>
                <w:sz w:val="19"/>
                <w:szCs w:val="19"/>
              </w:rPr>
              <w:t xml:space="preserve">3. ______________________________    Index No. ______________</w:t>
            </w:r>
          </w:p>
          <w:p>
            <w:pPr>
              <w:spacing w:after="40" w:line="260"/>
            </w:pPr>
            <w:r>
              <w:rPr>
                <w:rFonts w:ascii="Calibri" w:cs="Calibri" w:eastAsia="Calibri" w:hAnsi="Calibri"/>
                <w:b w:val="false"/>
                <w:bCs w:val="false"/>
                <w:color w:val="191C1D"/>
                <w:sz w:val="19"/>
                <w:szCs w:val="19"/>
              </w:rPr>
              <w:t xml:space="preserve">4. ______________________________    Index No. ______________</w:t>
            </w:r>
          </w:p>
          <w:p>
            <w:pPr>
              <w:spacing w:after="0" w:line="260"/>
            </w:pPr>
            <w:r>
              <w:rPr>
                <w:rFonts w:ascii="Calibri" w:cs="Calibri" w:eastAsia="Calibri" w:hAnsi="Calibri"/>
                <w:b w:val="false"/>
                <w:bCs w:val="false"/>
                <w:color w:val="191C1D"/>
                <w:sz w:val="19"/>
                <w:szCs w:val="19"/>
              </w:rPr>
              <w:t xml:space="preserve">5. ______________________________    Index No. ______________</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Course</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Systems Analysis and Design</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Supervisor</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______________________________</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Date of submission</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______________________________</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Document version</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1.0</w:t>
            </w:r>
          </w:p>
        </w:tc>
      </w:tr>
    </w:tbl>
    <w:p>
      <w:pPr>
        <w:spacing w:after="300"/>
      </w:pPr>
    </w:p>
    <w:p>
      <w:pPr>
        <w:jc w:val="center"/>
      </w:pPr>
      <w:r>
        <w:rPr>
          <w:rFonts w:ascii="Calibri" w:cs="Calibri" w:eastAsia="Calibri" w:hAnsi="Calibri"/>
          <w:i/>
          <w:iCs/>
          <w:color w:val="5A6560"/>
          <w:sz w:val="19"/>
          <w:szCs w:val="19"/>
        </w:rPr>
        <w:t xml:space="preserve">Structured in accordance with the systems proposal format prescribed in</w:t>
      </w:r>
    </w:p>
    <w:p>
      <w:pPr>
        <w:jc w:val="center"/>
      </w:pPr>
      <w:r>
        <w:rPr>
          <w:rFonts w:ascii="Calibri" w:cs="Calibri" w:eastAsia="Calibri" w:hAnsi="Calibri"/>
          <w:i/>
          <w:iCs/>
          <w:color w:val="5A6560"/>
          <w:sz w:val="19"/>
          <w:szCs w:val="19"/>
        </w:rPr>
        <w:t xml:space="preserve">Kendall &amp; Kendall, Systems Analysis and Design, 9th edition (Pearson, 2014)</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Table of Contents</w:t>
      </w:r>
    </w:p>
    <w:p>
      <w:pPr>
        <w:pBdr>
          <w:left w:val="single" w:color="92400E" w:sz="14" w:space="10"/>
        </w:pBdr>
        <w:spacing w:after="180" w:before="120"/>
        <w:ind w:left="220" w:right="220"/>
      </w:pPr>
      <w:r>
        <w:rPr>
          <w:rFonts w:ascii="Calibri" w:cs="Calibri" w:eastAsia="Calibri" w:hAnsi="Calibri"/>
          <w:i/>
          <w:iCs/>
          <w:color w:val="191C1D"/>
          <w:sz w:val="20"/>
          <w:szCs w:val="20"/>
        </w:rPr>
        <w:t xml:space="preserve">To populate the page numbers below: open this document in Microsoft Word, press Ctrl+A to select all, then press F9 and choose "Update entire table". Word fills the numbers from the headings automatically.</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1.  Executive Summary</w:t>
      </w:r>
    </w:p>
    <w:p>
      <w:pPr>
        <w:spacing w:after="140" w:line="288"/>
        <w:jc w:val="both"/>
      </w:pPr>
      <w:r>
        <w:rPr>
          <w:rFonts w:ascii="Calibri" w:cs="Calibri" w:eastAsia="Calibri" w:hAnsi="Calibri"/>
          <w:color w:val="191C1D"/>
          <w:sz w:val="22"/>
          <w:szCs w:val="22"/>
        </w:rPr>
        <w:t xml:space="preserve">The KNUST University Library System operates across a main library and several college libraries. Circulation — the issuing, returning and tracking of books — is presently handled by manual and partly computerised means. This proposal reports a systems study of that arrangement and recommends a course of action.</w:t>
      </w:r>
    </w:p>
    <w:p>
      <w:pPr>
        <w:pStyle w:val="Heading2"/>
        <w:keepNext/>
        <w:spacing w:after="110" w:before="260"/>
      </w:pPr>
      <w:r>
        <w:rPr>
          <w:rFonts w:ascii="Calibri" w:cs="Calibri" w:eastAsia="Calibri" w:hAnsi="Calibri"/>
          <w:b/>
          <w:bCs/>
          <w:color w:val="191C1D"/>
          <w:sz w:val="25"/>
          <w:szCs w:val="25"/>
        </w:rPr>
        <w:t xml:space="preserve">1.1  The problem</w:t>
      </w:r>
    </w:p>
    <w:p>
      <w:pPr>
        <w:spacing w:after="140" w:line="288"/>
        <w:jc w:val="both"/>
      </w:pPr>
      <w:r>
        <w:rPr>
          <w:rFonts w:ascii="Calibri" w:cs="Calibri" w:eastAsia="Calibri" w:hAnsi="Calibri"/>
          <w:color w:val="191C1D"/>
          <w:sz w:val="22"/>
          <w:szCs w:val="22"/>
        </w:rPr>
        <w:t xml:space="preserve">The study identified six recurring problems. Patrons cannot establish whether a title is available without travelling to a library. Loan records are held on paper or in spreadsheets, so establishing who holds what, and what is overdue, requires manual inspection. Fines are computed by hand, which is slow and error-prone. There is no consolidated record of staff actions, so errors cannot be traced after the event. Availability is not visible across branches, so a patron may be turned away from one library while a copy sits on the shelf of another. And there is no reliable management information on which to base stock or staffing decisions.</w:t>
      </w:r>
    </w:p>
    <w:p>
      <w:pPr>
        <w:pStyle w:val="Heading2"/>
        <w:keepNext/>
        <w:spacing w:after="110" w:before="260"/>
      </w:pPr>
      <w:r>
        <w:rPr>
          <w:rFonts w:ascii="Calibri" w:cs="Calibri" w:eastAsia="Calibri" w:hAnsi="Calibri"/>
          <w:b/>
          <w:bCs/>
          <w:color w:val="191C1D"/>
          <w:sz w:val="25"/>
          <w:szCs w:val="25"/>
        </w:rPr>
        <w:t xml:space="preserve">1.2  Alternatives considered</w:t>
      </w:r>
    </w:p>
    <w:p>
      <w:pPr>
        <w:spacing w:after="140" w:line="288"/>
        <w:jc w:val="both"/>
      </w:pPr>
      <w:r>
        <w:rPr>
          <w:rFonts w:ascii="Calibri" w:cs="Calibri" w:eastAsia="Calibri" w:hAnsi="Calibri"/>
          <w:color w:val="191C1D"/>
          <w:sz w:val="22"/>
          <w:szCs w:val="22"/>
        </w:rPr>
        <w:t xml:space="preserve">Three alternatives were evaluated against Kendall &amp; Kendall's three feasibility criteria — technical, economic and operational:</w:t>
      </w:r>
    </w:p>
    <w:p>
      <w:pPr>
        <w:pStyle w:val="ListParagraph"/>
        <w:numPr>
          <w:ilvl w:val="0"/>
          <w:numId w:val="2"/>
        </w:numPr>
        <w:spacing w:after="70" w:line="276"/>
      </w:pPr>
      <w:r>
        <w:rPr>
          <w:rFonts w:ascii="Calibri" w:cs="Calibri" w:eastAsia="Calibri" w:hAnsi="Calibri"/>
          <w:color w:val="191C1D"/>
          <w:sz w:val="22"/>
          <w:szCs w:val="22"/>
        </w:rPr>
        <w:t xml:space="preserve">Alternative A — retain the present manual arrangement.</w:t>
      </w:r>
    </w:p>
    <w:p>
      <w:pPr>
        <w:pStyle w:val="ListParagraph"/>
        <w:numPr>
          <w:ilvl w:val="0"/>
          <w:numId w:val="2"/>
        </w:numPr>
        <w:spacing w:after="70" w:line="276"/>
      </w:pPr>
      <w:r>
        <w:rPr>
          <w:rFonts w:ascii="Calibri" w:cs="Calibri" w:eastAsia="Calibri" w:hAnsi="Calibri"/>
          <w:color w:val="191C1D"/>
          <w:sz w:val="22"/>
          <w:szCs w:val="22"/>
        </w:rPr>
        <w:t xml:space="preserve">Alternative B — procure a commercial integrated library system.</w:t>
      </w:r>
    </w:p>
    <w:p>
      <w:pPr>
        <w:pStyle w:val="ListParagraph"/>
        <w:numPr>
          <w:ilvl w:val="0"/>
          <w:numId w:val="2"/>
        </w:numPr>
        <w:spacing w:after="70" w:line="276"/>
      </w:pPr>
      <w:r>
        <w:rPr>
          <w:rFonts w:ascii="Calibri" w:cs="Calibri" w:eastAsia="Calibri" w:hAnsi="Calibri"/>
          <w:color w:val="191C1D"/>
          <w:sz w:val="22"/>
          <w:szCs w:val="22"/>
        </w:rPr>
        <w:t xml:space="preserve">Alternative C — develop a purpose-built web application (Tameion).</w:t>
      </w:r>
    </w:p>
    <w:p>
      <w:pPr>
        <w:pStyle w:val="Heading2"/>
        <w:keepNext/>
        <w:spacing w:after="110" w:before="260"/>
      </w:pPr>
      <w:r>
        <w:rPr>
          <w:rFonts w:ascii="Calibri" w:cs="Calibri" w:eastAsia="Calibri" w:hAnsi="Calibri"/>
          <w:b/>
          <w:bCs/>
          <w:color w:val="191C1D"/>
          <w:sz w:val="25"/>
          <w:szCs w:val="25"/>
        </w:rPr>
        <w:t xml:space="preserve">1.3  Recommendation</w:t>
      </w:r>
    </w:p>
    <w:p>
      <w:pPr>
        <w:spacing w:after="140" w:line="288"/>
        <w:jc w:val="both"/>
      </w:pPr>
      <w:r>
        <w:rPr>
          <w:rFonts w:ascii="Calibri" w:cs="Calibri" w:eastAsia="Calibri" w:hAnsi="Calibri"/>
          <w:color w:val="191C1D"/>
          <w:sz w:val="22"/>
          <w:szCs w:val="22"/>
        </w:rPr>
        <w:t xml:space="preserve">We recommend Alternative C. It is the only option that addresses all six problems, fits the University's multi-branch structure without costly configuration, carries no recurring per-seat licence, and leaves the University owning the source code and the data.</w:t>
      </w:r>
    </w:p>
    <w:p>
      <w:pPr>
        <w:spacing w:after="140" w:line="288"/>
        <w:jc w:val="both"/>
      </w:pPr>
      <w:r>
        <w:rPr>
          <w:rFonts w:ascii="Calibri" w:cs="Calibri" w:eastAsia="Calibri" w:hAnsi="Calibri"/>
          <w:color w:val="191C1D"/>
          <w:sz w:val="22"/>
          <w:szCs w:val="22"/>
        </w:rPr>
        <w:t xml:space="preserve">The recommendation is unusually well supported for a proposal at this stage, because a complete working system has already been built and verified. It is not a design on paper. Appendix A lists each claim in this document alongside the command that reproduces it.</w:t>
      </w:r>
    </w:p>
    <w:p>
      <w:pPr>
        <w:pStyle w:val="Heading2"/>
        <w:keepNext/>
        <w:spacing w:after="110" w:before="260"/>
      </w:pPr>
      <w:r>
        <w:rPr>
          <w:rFonts w:ascii="Calibri" w:cs="Calibri" w:eastAsia="Calibri" w:hAnsi="Calibri"/>
          <w:b/>
          <w:bCs/>
          <w:color w:val="191C1D"/>
          <w:sz w:val="25"/>
          <w:szCs w:val="25"/>
        </w:rPr>
        <w:t xml:space="preserve">1.4  Status of the prototype</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3400"/>
        <w:gridCol w:w="2100"/>
        <w:gridCol w:w="3520"/>
      </w:tblGrid>
      <w:tr>
        <w:trPr>
          <w:tblHeader/>
        </w:trPr>
        <w:tc>
          <w:tcPr>
            <w:tcW w:type="dxa" w:w="34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Measure</w:t>
            </w:r>
          </w:p>
        </w:tc>
        <w:tc>
          <w:tcPr>
            <w:tcW w:type="dxa" w:w="21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Result</w:t>
            </w:r>
          </w:p>
        </w:tc>
        <w:tc>
          <w:tcPr>
            <w:tcW w:type="dxa" w:w="35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How it is established</w:t>
            </w:r>
          </w:p>
        </w:tc>
      </w:tr>
      <w:tr>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Automated tests passing</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224 of 224</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Jest suite, 7 test suites</w:t>
            </w:r>
          </w:p>
        </w:tc>
      </w:tr>
      <w:tr>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API endpoints verified</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45 of 45</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Route smoke test against the running system</w:t>
            </w:r>
          </w:p>
        </w:tc>
      </w:tr>
      <w:tr>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Errors on a clean start</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0</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Full rebuild from an empty database</w:t>
            </w:r>
          </w:p>
        </w:tc>
      </w:tr>
      <w:tr>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Database schema</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10 tables, 82 columns</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Schema comparison script</w:t>
            </w:r>
          </w:p>
        </w:tc>
      </w:tr>
      <w:tr>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Screen widths supported</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375 / 768 / 1440 px</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Measured in the browser</w:t>
            </w:r>
          </w:p>
        </w:tc>
      </w:tr>
    </w:tbl>
    <w:p>
      <w:pPr>
        <w:spacing w:after="200" w:before="60"/>
      </w:pPr>
      <w:r>
        <w:rPr>
          <w:rFonts w:ascii="Calibri" w:cs="Calibri" w:eastAsia="Calibri" w:hAnsi="Calibri"/>
          <w:i/>
          <w:iCs/>
          <w:color w:val="5A6560"/>
          <w:sz w:val="18"/>
          <w:szCs w:val="18"/>
        </w:rPr>
        <w:t xml:space="preserve">Table 1 — Verified condition of the Tameion prototype at the time of submission.</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2.  Outline of the Systems Study</w:t>
      </w:r>
    </w:p>
    <w:p>
      <w:pPr>
        <w:pStyle w:val="Heading2"/>
        <w:keepNext/>
        <w:spacing w:after="110" w:before="260"/>
      </w:pPr>
      <w:r>
        <w:rPr>
          <w:rFonts w:ascii="Calibri" w:cs="Calibri" w:eastAsia="Calibri" w:hAnsi="Calibri"/>
          <w:b/>
          <w:bCs/>
          <w:color w:val="191C1D"/>
          <w:sz w:val="25"/>
          <w:szCs w:val="25"/>
        </w:rPr>
        <w:t xml:space="preserve">2.1  Terms of reference</w:t>
      </w:r>
    </w:p>
    <w:p>
      <w:pPr>
        <w:spacing w:after="140" w:line="288"/>
        <w:jc w:val="both"/>
      </w:pPr>
      <w:r>
        <w:rPr>
          <w:rFonts w:ascii="Calibri" w:cs="Calibri" w:eastAsia="Calibri" w:hAnsi="Calibri"/>
          <w:color w:val="191C1D"/>
          <w:sz w:val="22"/>
          <w:szCs w:val="22"/>
        </w:rPr>
        <w:t xml:space="preserve">The study was commissioned as coursework in Systems Analysis and Design. Its purpose was to examine circulation practice in the KNUST University Library System, to determine whether an automated system is justified, and — if so — to specify and demonstrate one.</w:t>
      </w:r>
    </w:p>
    <w:p>
      <w:pPr>
        <w:pStyle w:val="Heading2"/>
        <w:keepNext/>
        <w:spacing w:after="110" w:before="260"/>
      </w:pPr>
      <w:r>
        <w:rPr>
          <w:rFonts w:ascii="Calibri" w:cs="Calibri" w:eastAsia="Calibri" w:hAnsi="Calibri"/>
          <w:b/>
          <w:bCs/>
          <w:color w:val="191C1D"/>
          <w:sz w:val="25"/>
          <w:szCs w:val="25"/>
        </w:rPr>
        <w:t xml:space="preserve">2.2  Objectives of the study</w:t>
      </w:r>
    </w:p>
    <w:p>
      <w:pPr>
        <w:pStyle w:val="ListParagraph"/>
        <w:numPr>
          <w:ilvl w:val="0"/>
          <w:numId w:val="3"/>
        </w:numPr>
        <w:spacing w:after="70" w:line="276"/>
      </w:pPr>
      <w:r>
        <w:rPr>
          <w:rFonts w:ascii="Calibri" w:cs="Calibri" w:eastAsia="Calibri" w:hAnsi="Calibri"/>
          <w:color w:val="191C1D"/>
          <w:sz w:val="22"/>
          <w:szCs w:val="22"/>
        </w:rPr>
        <w:t xml:space="preserve">To document how books are currently catalogued, issued, returned and fined for.</w:t>
      </w:r>
    </w:p>
    <w:p>
      <w:pPr>
        <w:pStyle w:val="ListParagraph"/>
        <w:numPr>
          <w:ilvl w:val="0"/>
          <w:numId w:val="3"/>
        </w:numPr>
        <w:spacing w:after="70" w:line="276"/>
      </w:pPr>
      <w:r>
        <w:rPr>
          <w:rFonts w:ascii="Calibri" w:cs="Calibri" w:eastAsia="Calibri" w:hAnsi="Calibri"/>
          <w:color w:val="191C1D"/>
          <w:sz w:val="22"/>
          <w:szCs w:val="22"/>
        </w:rPr>
        <w:t xml:space="preserve">To identify the problems arising from that practice and their consequences.</w:t>
      </w:r>
    </w:p>
    <w:p>
      <w:pPr>
        <w:pStyle w:val="ListParagraph"/>
        <w:numPr>
          <w:ilvl w:val="0"/>
          <w:numId w:val="3"/>
        </w:numPr>
        <w:spacing w:after="70" w:line="276"/>
      </w:pPr>
      <w:r>
        <w:rPr>
          <w:rFonts w:ascii="Calibri" w:cs="Calibri" w:eastAsia="Calibri" w:hAnsi="Calibri"/>
          <w:color w:val="191C1D"/>
          <w:sz w:val="22"/>
          <w:szCs w:val="22"/>
        </w:rPr>
        <w:t xml:space="preserve">To derive the requirements that any replacement system must satisfy.</w:t>
      </w:r>
    </w:p>
    <w:p>
      <w:pPr>
        <w:pStyle w:val="ListParagraph"/>
        <w:numPr>
          <w:ilvl w:val="0"/>
          <w:numId w:val="3"/>
        </w:numPr>
        <w:spacing w:after="70" w:line="276"/>
      </w:pPr>
      <w:r>
        <w:rPr>
          <w:rFonts w:ascii="Calibri" w:cs="Calibri" w:eastAsia="Calibri" w:hAnsi="Calibri"/>
          <w:color w:val="191C1D"/>
          <w:sz w:val="22"/>
          <w:szCs w:val="22"/>
        </w:rPr>
        <w:t xml:space="preserve">To evaluate the feasible alternatives on technical, economic and operational grounds.</w:t>
      </w:r>
    </w:p>
    <w:p>
      <w:pPr>
        <w:pStyle w:val="ListParagraph"/>
        <w:numPr>
          <w:ilvl w:val="0"/>
          <w:numId w:val="3"/>
        </w:numPr>
        <w:spacing w:after="70" w:line="276"/>
      </w:pPr>
      <w:r>
        <w:rPr>
          <w:rFonts w:ascii="Calibri" w:cs="Calibri" w:eastAsia="Calibri" w:hAnsi="Calibri"/>
          <w:color w:val="191C1D"/>
          <w:sz w:val="22"/>
          <w:szCs w:val="22"/>
        </w:rPr>
        <w:t xml:space="preserve">To recommend a course of action and demonstrate it where practicable.</w:t>
      </w:r>
    </w:p>
    <w:p>
      <w:pPr>
        <w:pStyle w:val="Heading2"/>
        <w:keepNext/>
        <w:spacing w:after="110" w:before="260"/>
      </w:pPr>
      <w:r>
        <w:rPr>
          <w:rFonts w:ascii="Calibri" w:cs="Calibri" w:eastAsia="Calibri" w:hAnsi="Calibri"/>
          <w:b/>
          <w:bCs/>
          <w:color w:val="191C1D"/>
          <w:sz w:val="25"/>
          <w:szCs w:val="25"/>
        </w:rPr>
        <w:t xml:space="preserve">2.3  Scope</w:t>
      </w:r>
    </w:p>
    <w:p>
      <w:pPr>
        <w:spacing w:after="140" w:line="288"/>
        <w:jc w:val="both"/>
      </w:pPr>
      <w:r>
        <w:rPr>
          <w:rFonts w:ascii="Calibri" w:cs="Calibri" w:eastAsia="Calibri" w:hAnsi="Calibri"/>
          <w:color w:val="191C1D"/>
          <w:sz w:val="22"/>
          <w:szCs w:val="22"/>
        </w:rPr>
        <w:t xml:space="preserve">The study covers the full borrowing cycle: cataloguing and search, reservations, issuing, returning, renewal, overdue detection, fines, member and staff administration, multiple branch libraries, management reporting, and the audit of staff actions.</w:t>
      </w:r>
    </w:p>
    <w:p>
      <w:pPr>
        <w:spacing w:after="140" w:line="288"/>
        <w:jc w:val="both"/>
      </w:pPr>
      <w:r>
        <w:rPr>
          <w:rFonts w:ascii="Calibri" w:cs="Calibri" w:eastAsia="Calibri" w:hAnsi="Calibri"/>
          <w:color w:val="191C1D"/>
          <w:sz w:val="22"/>
          <w:szCs w:val="22"/>
        </w:rPr>
        <w:t xml:space="preserve">The following are outside scope and are noted here so that the boundary is explicit: electronic payment of fines; acquisitions and supplier ordering; inter-library loan with institutions outside KNUST; digitisation of physical holdings; and integration with the University's student records system. Section 8.4 identifies which of these should be considered in a later phase.</w:t>
      </w:r>
    </w:p>
    <w:p>
      <w:pPr>
        <w:pStyle w:val="Heading2"/>
        <w:keepNext/>
        <w:spacing w:after="110" w:before="260"/>
      </w:pPr>
      <w:r>
        <w:rPr>
          <w:rFonts w:ascii="Calibri" w:cs="Calibri" w:eastAsia="Calibri" w:hAnsi="Calibri"/>
          <w:b/>
          <w:bCs/>
          <w:color w:val="191C1D"/>
          <w:sz w:val="25"/>
          <w:szCs w:val="25"/>
        </w:rPr>
        <w:t xml:space="preserve">2.4  Method</w:t>
      </w:r>
    </w:p>
    <w:p>
      <w:pPr>
        <w:spacing w:after="140" w:line="288"/>
        <w:jc w:val="both"/>
      </w:pPr>
      <w:r>
        <w:rPr>
          <w:rFonts w:ascii="Calibri" w:cs="Calibri" w:eastAsia="Calibri" w:hAnsi="Calibri"/>
          <w:color w:val="191C1D"/>
          <w:sz w:val="22"/>
          <w:szCs w:val="22"/>
        </w:rPr>
        <w:t xml:space="preserve">The study proceeded in four stages, following the systems development life cycle presented in the course:</w:t>
      </w:r>
    </w:p>
    <w:p>
      <w:pPr>
        <w:pStyle w:val="ListParagraph"/>
        <w:numPr>
          <w:ilvl w:val="0"/>
          <w:numId w:val="2"/>
        </w:numPr>
        <w:spacing w:after="70" w:line="276"/>
      </w:pPr>
      <w:r>
        <w:rPr>
          <w:rFonts w:ascii="Calibri" w:cs="Calibri" w:eastAsia="Calibri" w:hAnsi="Calibri"/>
          <w:color w:val="191C1D"/>
          <w:sz w:val="22"/>
          <w:szCs w:val="22"/>
        </w:rPr>
        <w:t xml:space="preserve">Investigation — review of current circulation practice and of the records kept, to establish how the present arrangement works and where it fails.</w:t>
      </w:r>
    </w:p>
    <w:p>
      <w:pPr>
        <w:pStyle w:val="ListParagraph"/>
        <w:numPr>
          <w:ilvl w:val="0"/>
          <w:numId w:val="2"/>
        </w:numPr>
        <w:spacing w:after="70" w:line="276"/>
      </w:pPr>
      <w:r>
        <w:rPr>
          <w:rFonts w:ascii="Calibri" w:cs="Calibri" w:eastAsia="Calibri" w:hAnsi="Calibri"/>
          <w:color w:val="191C1D"/>
          <w:sz w:val="22"/>
          <w:szCs w:val="22"/>
        </w:rPr>
        <w:t xml:space="preserve">Analysis — derivation of functional and non-functional requirements from the problems identified, each requirement traced back to the problem that motivates it (Table 3).</w:t>
      </w:r>
    </w:p>
    <w:p>
      <w:pPr>
        <w:pStyle w:val="ListParagraph"/>
        <w:numPr>
          <w:ilvl w:val="0"/>
          <w:numId w:val="2"/>
        </w:numPr>
        <w:spacing w:after="70" w:line="276"/>
      </w:pPr>
      <w:r>
        <w:rPr>
          <w:rFonts w:ascii="Calibri" w:cs="Calibri" w:eastAsia="Calibri" w:hAnsi="Calibri"/>
          <w:color w:val="191C1D"/>
          <w:sz w:val="22"/>
          <w:szCs w:val="22"/>
        </w:rPr>
        <w:t xml:space="preserve">Design and prototyping — iterative construction of a working system, so that requirements could be tested against something real rather than assessed on paper.</w:t>
      </w:r>
    </w:p>
    <w:p>
      <w:pPr>
        <w:pStyle w:val="ListParagraph"/>
        <w:numPr>
          <w:ilvl w:val="0"/>
          <w:numId w:val="2"/>
        </w:numPr>
        <w:spacing w:after="70" w:line="276"/>
      </w:pPr>
      <w:r>
        <w:rPr>
          <w:rFonts w:ascii="Calibri" w:cs="Calibri" w:eastAsia="Calibri" w:hAnsi="Calibri"/>
          <w:color w:val="191C1D"/>
          <w:sz w:val="22"/>
          <w:szCs w:val="22"/>
        </w:rPr>
        <w:t xml:space="preserve">Verification — independent, repeatable checking of the prototype: automated testing, endpoint verification, and inspection of the running system. The results are in Section 3.4 and Appendix A.</w:t>
      </w:r>
    </w:p>
    <w:p>
      <w:pPr>
        <w:pBdr>
          <w:left w:val="single" w:color="92400E" w:sz="14" w:space="10"/>
        </w:pBdr>
        <w:spacing w:after="180" w:before="120"/>
        <w:ind w:left="220" w:right="220"/>
      </w:pPr>
      <w:r>
        <w:rPr>
          <w:rFonts w:ascii="Calibri" w:cs="Calibri" w:eastAsia="Calibri" w:hAnsi="Calibri"/>
          <w:i/>
          <w:iCs/>
          <w:color w:val="191C1D"/>
          <w:sz w:val="20"/>
          <w:szCs w:val="20"/>
        </w:rPr>
        <w:t xml:space="preserve">If your team also carried out interviews, questionnaires or direct observation with library staff, insert the instruments used and a summary of responses as Appendix E, and add a sentence here describing the sample. This document does not claim fieldwork that the team did not perform.</w:t>
      </w:r>
    </w:p>
    <w:p>
      <w:pPr>
        <w:pStyle w:val="Heading2"/>
        <w:keepNext/>
        <w:spacing w:after="110" w:before="260"/>
      </w:pPr>
      <w:r>
        <w:rPr>
          <w:rFonts w:ascii="Calibri" w:cs="Calibri" w:eastAsia="Calibri" w:hAnsi="Calibri"/>
          <w:b/>
          <w:bCs/>
          <w:color w:val="191C1D"/>
          <w:sz w:val="25"/>
          <w:szCs w:val="25"/>
        </w:rPr>
        <w:t xml:space="preserve">2.5  Documentation produced</w:t>
      </w:r>
    </w:p>
    <w:p>
      <w:pPr>
        <w:spacing w:after="140" w:line="288"/>
        <w:jc w:val="both"/>
      </w:pPr>
      <w:r>
        <w:rPr>
          <w:rFonts w:ascii="Calibri" w:cs="Calibri" w:eastAsia="Calibri" w:hAnsi="Calibri"/>
          <w:color w:val="191C1D"/>
          <w:sz w:val="22"/>
          <w:szCs w:val="22"/>
        </w:rPr>
        <w:t xml:space="preserve">The following supporting documentation accompanies this proposal and is available on request or in the appendices indicated:</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3000"/>
        <w:gridCol w:w="6020"/>
      </w:tblGrid>
      <w:tr>
        <w:trPr>
          <w:tblHeader/>
        </w:trPr>
        <w:tc>
          <w:tcPr>
            <w:tcW w:type="dxa" w:w="30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Document</w:t>
            </w:r>
          </w:p>
        </w:tc>
        <w:tc>
          <w:tcPr>
            <w:tcW w:type="dxa" w:w="60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Where it is found</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Database schema definition</w:t>
            </w:r>
          </w:p>
        </w:tc>
        <w:tc>
          <w:tcPr>
            <w:tcW w:type="dxa" w:w="6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Appendix B (summary); full SQL in the source repository</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API endpoint inventory</w:t>
            </w:r>
          </w:p>
        </w:tc>
        <w:tc>
          <w:tcPr>
            <w:tcW w:type="dxa" w:w="6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Appendix C</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Verification evidence</w:t>
            </w:r>
          </w:p>
        </w:tc>
        <w:tc>
          <w:tcPr>
            <w:tcW w:type="dxa" w:w="6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Appendix A</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Glossary of terms</w:t>
            </w:r>
          </w:p>
        </w:tc>
        <w:tc>
          <w:tcPr>
            <w:tcW w:type="dxa" w:w="6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Appendix D</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Data collection instruments</w:t>
            </w:r>
          </w:p>
        </w:tc>
        <w:tc>
          <w:tcPr>
            <w:tcW w:type="dxa" w:w="6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Appendix E (to be inserted by the team, if applicable)</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Source code and test suite</w:t>
            </w:r>
          </w:p>
        </w:tc>
        <w:tc>
          <w:tcPr>
            <w:tcW w:type="dxa" w:w="6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Project repository, supplied with this submission</w:t>
            </w:r>
          </w:p>
        </w:tc>
      </w:tr>
    </w:tbl>
    <w:p>
      <w:pPr>
        <w:spacing w:after="200" w:before="60"/>
      </w:pPr>
      <w:r>
        <w:rPr>
          <w:rFonts w:ascii="Calibri" w:cs="Calibri" w:eastAsia="Calibri" w:hAnsi="Calibri"/>
          <w:i/>
          <w:iCs/>
          <w:color w:val="5A6560"/>
          <w:sz w:val="18"/>
          <w:szCs w:val="18"/>
        </w:rPr>
        <w:t xml:space="preserve">Table 2 — Supporting documentation.</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3.  Detailed Results of the Systems Study</w:t>
      </w:r>
    </w:p>
    <w:p>
      <w:pPr>
        <w:pStyle w:val="Heading2"/>
        <w:keepNext/>
        <w:spacing w:after="110" w:before="260"/>
      </w:pPr>
      <w:r>
        <w:rPr>
          <w:rFonts w:ascii="Calibri" w:cs="Calibri" w:eastAsia="Calibri" w:hAnsi="Calibri"/>
          <w:b/>
          <w:bCs/>
          <w:color w:val="191C1D"/>
          <w:sz w:val="25"/>
          <w:szCs w:val="25"/>
        </w:rPr>
        <w:t xml:space="preserve">3.1  Problems identified in the present system</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900"/>
        <w:gridCol w:w="3400"/>
        <w:gridCol w:w="4720"/>
      </w:tblGrid>
      <w:tr>
        <w:trPr>
          <w:tblHeader/>
        </w:trPr>
        <w:tc>
          <w:tcPr>
            <w:tcW w:type="dxa" w:w="9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Ref</w:t>
            </w:r>
          </w:p>
        </w:tc>
        <w:tc>
          <w:tcPr>
            <w:tcW w:type="dxa" w:w="34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Problem</w:t>
            </w:r>
          </w:p>
        </w:tc>
        <w:tc>
          <w:tcPr>
            <w:tcW w:type="dxa" w:w="47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Consequence</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P1</w:t>
            </w:r>
          </w:p>
        </w:tc>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Availability of a title cannot be checked remotely</w:t>
            </w:r>
          </w:p>
        </w:tc>
        <w:tc>
          <w:tcPr>
            <w:tcW w:type="dxa" w:w="47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Patrons travel to the library for books that are already on loan; staff time is spent answering availability enquiries</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P2</w:t>
            </w:r>
          </w:p>
        </w:tc>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Loan records are kept manually</w:t>
            </w:r>
          </w:p>
        </w:tc>
        <w:tc>
          <w:tcPr>
            <w:tcW w:type="dxa" w:w="47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Establishing who holds what, and what is overdue, requires inspection of records by hand</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P3</w:t>
            </w:r>
          </w:p>
        </w:tc>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Fines are calculated by hand</w:t>
            </w:r>
          </w:p>
        </w:tc>
        <w:tc>
          <w:tcPr>
            <w:tcW w:type="dxa" w:w="47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Calculation is slow at the desk, inconsistent between staff, and disputes cannot be settled from the record</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P4</w:t>
            </w:r>
          </w:p>
        </w:tc>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 consolidated record of staff actions</w:t>
            </w:r>
          </w:p>
        </w:tc>
        <w:tc>
          <w:tcPr>
            <w:tcW w:type="dxa" w:w="47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Errors and irregularities cannot be traced after the event; there is no accountability trail</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P5</w:t>
            </w:r>
          </w:p>
        </w:tc>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Holdings are not visible across branches</w:t>
            </w:r>
          </w:p>
        </w:tc>
        <w:tc>
          <w:tcPr>
            <w:tcW w:type="dxa" w:w="47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 patron may be refused at one library while a copy sits on the shelf at another</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P6</w:t>
            </w:r>
          </w:p>
        </w:tc>
        <w:tc>
          <w:tcPr>
            <w:tcW w:type="dxa" w:w="3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 reliable management information</w:t>
            </w:r>
          </w:p>
        </w:tc>
        <w:tc>
          <w:tcPr>
            <w:tcW w:type="dxa" w:w="47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Stock, staffing and opening-hours decisions are made without evidence of demand</w:t>
            </w:r>
          </w:p>
        </w:tc>
      </w:tr>
    </w:tbl>
    <w:p>
      <w:pPr>
        <w:spacing w:after="200" w:before="60"/>
      </w:pPr>
      <w:r>
        <w:rPr>
          <w:rFonts w:ascii="Calibri" w:cs="Calibri" w:eastAsia="Calibri" w:hAnsi="Calibri"/>
          <w:i/>
          <w:iCs/>
          <w:color w:val="5A6560"/>
          <w:sz w:val="18"/>
          <w:szCs w:val="18"/>
        </w:rPr>
        <w:t xml:space="preserve">Table 3 — Problems identified, with their operational consequences.</w:t>
      </w:r>
    </w:p>
    <w:p>
      <w:pPr>
        <w:pStyle w:val="Heading2"/>
        <w:keepNext/>
        <w:spacing w:after="110" w:before="260"/>
      </w:pPr>
      <w:r>
        <w:rPr>
          <w:rFonts w:ascii="Calibri" w:cs="Calibri" w:eastAsia="Calibri" w:hAnsi="Calibri"/>
          <w:b/>
          <w:bCs/>
          <w:color w:val="191C1D"/>
          <w:sz w:val="25"/>
          <w:szCs w:val="25"/>
        </w:rPr>
        <w:t xml:space="preserve">3.2  Requirements derived</w:t>
      </w:r>
    </w:p>
    <w:p>
      <w:pPr>
        <w:spacing w:after="140" w:line="288"/>
        <w:jc w:val="both"/>
      </w:pPr>
      <w:r>
        <w:rPr>
          <w:rFonts w:ascii="Calibri" w:cs="Calibri" w:eastAsia="Calibri" w:hAnsi="Calibri"/>
          <w:color w:val="191C1D"/>
          <w:sz w:val="22"/>
          <w:szCs w:val="22"/>
        </w:rPr>
        <w:t xml:space="preserve">Each requirement below is traced to the problem it addresses, so that no requirement is present without justification and no identified problem is left unaddressed.</w:t>
      </w:r>
    </w:p>
    <w:p>
      <w:pPr>
        <w:pStyle w:val="Heading3"/>
        <w:keepNext/>
        <w:spacing w:after="90" w:before="200"/>
      </w:pPr>
      <w:r>
        <w:rPr>
          <w:rFonts w:ascii="Calibri" w:cs="Calibri" w:eastAsia="Calibri" w:hAnsi="Calibri"/>
          <w:b/>
          <w:bCs/>
          <w:color w:val="00652C"/>
          <w:sz w:val="22"/>
          <w:szCs w:val="22"/>
        </w:rPr>
        <w:t xml:space="preserve">Functional requirements</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900"/>
        <w:gridCol w:w="5100"/>
        <w:gridCol w:w="3020"/>
      </w:tblGrid>
      <w:tr>
        <w:trPr>
          <w:tblHeader/>
        </w:trPr>
        <w:tc>
          <w:tcPr>
            <w:tcW w:type="dxa" w:w="9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Ref</w:t>
            </w:r>
          </w:p>
        </w:tc>
        <w:tc>
          <w:tcPr>
            <w:tcW w:type="dxa" w:w="51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Requirement</w:t>
            </w:r>
          </w:p>
        </w:tc>
        <w:tc>
          <w:tcPr>
            <w:tcW w:type="dxa" w:w="30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Addresses</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FR1</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Search the catalogue by title, author or ISBN, showing live availability, without requiring an account</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P1, P5</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FR2</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Filter results by genre, branch library and current availability</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P1, P5</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FR3</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Reserve a title, with the hold expiring automatically after a fixed period</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P1</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FR4</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Issue a book to a member, recording the due date and reducing available copies</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P2</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FR5</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Receive a returned book, restoring the copy count</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P2</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FR6</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Renew a loan without the book being brought in</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P2</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FR7</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Detect overdue loans automatically, without staff intervention</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P2, P3</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FR8</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Calculate and record fines automatically on return, showing the basis of the calculation</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P3</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FR9</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Allow a patron to view their own loans, holds and fine balance</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P1, P3</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FR10</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Maintain member records and permit accounts to be suspended and restored</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P2</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FR11</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Maintain the catalogue, staff accounts and branch libraries</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P5</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FR12</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Record every staff action in an audit log</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P4</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FR13</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Report on circulation, demand and outstanding fines</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P6</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FR14</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Import and export the catalogue and membership in bulk</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P2</w:t>
            </w:r>
          </w:p>
        </w:tc>
      </w:tr>
    </w:tbl>
    <w:p>
      <w:pPr>
        <w:spacing w:after="200" w:before="60"/>
      </w:pPr>
      <w:r>
        <w:rPr>
          <w:rFonts w:ascii="Calibri" w:cs="Calibri" w:eastAsia="Calibri" w:hAnsi="Calibri"/>
          <w:i/>
          <w:iCs/>
          <w:color w:val="5A6560"/>
          <w:sz w:val="18"/>
          <w:szCs w:val="18"/>
        </w:rPr>
        <w:t xml:space="preserve">Table 4 — Functional requirements, traced to the problems of Table 3.</w:t>
      </w:r>
    </w:p>
    <w:p>
      <w:pPr>
        <w:pStyle w:val="Heading3"/>
        <w:keepNext/>
        <w:spacing w:after="90" w:before="200"/>
      </w:pPr>
      <w:r>
        <w:rPr>
          <w:rFonts w:ascii="Calibri" w:cs="Calibri" w:eastAsia="Calibri" w:hAnsi="Calibri"/>
          <w:b/>
          <w:bCs/>
          <w:color w:val="00652C"/>
          <w:sz w:val="22"/>
          <w:szCs w:val="22"/>
        </w:rPr>
        <w:t xml:space="preserve">Non-functional requirements</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900"/>
        <w:gridCol w:w="5100"/>
        <w:gridCol w:w="3020"/>
      </w:tblGrid>
      <w:tr>
        <w:trPr>
          <w:tblHeader/>
        </w:trPr>
        <w:tc>
          <w:tcPr>
            <w:tcW w:type="dxa" w:w="9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Ref</w:t>
            </w:r>
          </w:p>
        </w:tc>
        <w:tc>
          <w:tcPr>
            <w:tcW w:type="dxa" w:w="51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Requirement</w:t>
            </w:r>
          </w:p>
        </w:tc>
        <w:tc>
          <w:tcPr>
            <w:tcW w:type="dxa" w:w="30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Rationale</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NFR1</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Only authenticated users reach protected functions, and permission is enforced on the server</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Hiding a control in the interface is not a security measure</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NFR2</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Personal data is protected in transit and at rest</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The system holds member contact details and financial balances</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NFR3</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Usable on a mobile telephone as well as a desktop computer</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Most students will reach the catalogue from a handset</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NFR4</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Operations that change several records either complete fully or not at all</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 book must never be recorded as both issued and available</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NFR5</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Deployable and reproducible on any suitably specified machine</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The University must not depend on one developer's computer</w:t>
            </w:r>
          </w:p>
        </w:tc>
      </w:tr>
      <w:tr>
        <w:tc>
          <w:tcPr>
            <w:tcW w:type="dxa" w:w="9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NFR6</w:t>
            </w:r>
          </w:p>
        </w:tc>
        <w:tc>
          <w:tcPr>
            <w:tcW w:type="dxa" w:w="5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Behaviour verifiable by automated test</w:t>
            </w:r>
          </w:p>
        </w:tc>
        <w:tc>
          <w:tcPr>
            <w:tcW w:type="dxa" w:w="3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Correctness must be demonstrable, not asserted</w:t>
            </w:r>
          </w:p>
        </w:tc>
      </w:tr>
    </w:tbl>
    <w:p>
      <w:pPr>
        <w:spacing w:after="200" w:before="60"/>
      </w:pPr>
      <w:r>
        <w:rPr>
          <w:rFonts w:ascii="Calibri" w:cs="Calibri" w:eastAsia="Calibri" w:hAnsi="Calibri"/>
          <w:i/>
          <w:iCs/>
          <w:color w:val="5A6560"/>
          <w:sz w:val="18"/>
          <w:szCs w:val="18"/>
        </w:rPr>
        <w:t xml:space="preserve">Table 5 — Non-functional requirements.</w:t>
      </w:r>
    </w:p>
    <w:p>
      <w:pPr>
        <w:pStyle w:val="Heading2"/>
        <w:keepNext/>
        <w:spacing w:after="110" w:before="260"/>
      </w:pPr>
      <w:r>
        <w:rPr>
          <w:rFonts w:ascii="Calibri" w:cs="Calibri" w:eastAsia="Calibri" w:hAnsi="Calibri"/>
          <w:b/>
          <w:bCs/>
          <w:color w:val="191C1D"/>
          <w:sz w:val="25"/>
          <w:szCs w:val="25"/>
        </w:rPr>
        <w:t xml:space="preserve">3.3  What the prototype demonstrates</w:t>
      </w:r>
    </w:p>
    <w:p>
      <w:pPr>
        <w:spacing w:after="140" w:line="288"/>
        <w:jc w:val="both"/>
      </w:pPr>
      <w:r>
        <w:rPr>
          <w:rFonts w:ascii="Calibri" w:cs="Calibri" w:eastAsia="Calibri" w:hAnsi="Calibri"/>
          <w:color w:val="191C1D"/>
          <w:sz w:val="22"/>
          <w:szCs w:val="22"/>
        </w:rPr>
        <w:t xml:space="preserve">A working system satisfying the requirements above was constructed. It comprises a web application used by patrons and library staff, an application server, and a relational database, deployed together as containers with a web server in front.</w:t>
      </w:r>
    </w:p>
    <w:p>
      <w:pPr>
        <w:pStyle w:val="ListParagraph"/>
        <w:numPr>
          <w:ilvl w:val="0"/>
          <w:numId w:val="2"/>
        </w:numPr>
        <w:spacing w:after="70" w:line="276"/>
      </w:pPr>
      <w:r>
        <w:rPr>
          <w:rFonts w:ascii="Calibri" w:cs="Calibri" w:eastAsia="Calibri" w:hAnsi="Calibri"/>
          <w:color w:val="191C1D"/>
          <w:sz w:val="22"/>
          <w:szCs w:val="22"/>
        </w:rPr>
        <w:t xml:space="preserve">Patrons search a catalogue showing live availability per branch, place holds that expire automatically after seven days, and view their loans, holds and fine balance with the basis of each charge shown.</w:t>
      </w:r>
    </w:p>
    <w:p>
      <w:pPr>
        <w:pStyle w:val="ListParagraph"/>
        <w:numPr>
          <w:ilvl w:val="0"/>
          <w:numId w:val="2"/>
        </w:numPr>
        <w:spacing w:after="70" w:line="276"/>
      </w:pPr>
      <w:r>
        <w:rPr>
          <w:rFonts w:ascii="Calibri" w:cs="Calibri" w:eastAsia="Calibri" w:hAnsi="Calibri"/>
          <w:color w:val="191C1D"/>
          <w:sz w:val="22"/>
          <w:szCs w:val="22"/>
        </w:rPr>
        <w:t xml:space="preserve">Staff issue, renew and receive books from a single circulation screen. Fines are computed on return at GHS 1.00 per day overdue and recorded against the member automatically.</w:t>
      </w:r>
    </w:p>
    <w:p>
      <w:pPr>
        <w:pStyle w:val="ListParagraph"/>
        <w:numPr>
          <w:ilvl w:val="0"/>
          <w:numId w:val="2"/>
        </w:numPr>
        <w:spacing w:after="70" w:line="276"/>
      </w:pPr>
      <w:r>
        <w:rPr>
          <w:rFonts w:ascii="Calibri" w:cs="Calibri" w:eastAsia="Calibri" w:hAnsi="Calibri"/>
          <w:color w:val="191C1D"/>
          <w:sz w:val="22"/>
          <w:szCs w:val="22"/>
        </w:rPr>
        <w:t xml:space="preserve">Overdue loans and expired reservations are detected by a scheduled process that runs every fifteen minutes, without staff intervention.</w:t>
      </w:r>
    </w:p>
    <w:p>
      <w:pPr>
        <w:pStyle w:val="ListParagraph"/>
        <w:numPr>
          <w:ilvl w:val="0"/>
          <w:numId w:val="2"/>
        </w:numPr>
        <w:spacing w:after="70" w:line="276"/>
      </w:pPr>
      <w:r>
        <w:rPr>
          <w:rFonts w:ascii="Calibri" w:cs="Calibri" w:eastAsia="Calibri" w:hAnsi="Calibri"/>
          <w:color w:val="191C1D"/>
          <w:sz w:val="22"/>
          <w:szCs w:val="22"/>
        </w:rPr>
        <w:t xml:space="preserve">Ten administrative screens cover members, catalogue, circulation, fines, reservations, staff, branches, reporting and the audit log.</w:t>
      </w:r>
    </w:p>
    <w:p>
      <w:pPr>
        <w:pStyle w:val="ListParagraph"/>
        <w:numPr>
          <w:ilvl w:val="0"/>
          <w:numId w:val="2"/>
        </w:numPr>
        <w:spacing w:after="70" w:line="276"/>
      </w:pPr>
      <w:r>
        <w:rPr>
          <w:rFonts w:ascii="Calibri" w:cs="Calibri" w:eastAsia="Calibri" w:hAnsi="Calibri"/>
          <w:color w:val="191C1D"/>
          <w:sz w:val="22"/>
          <w:szCs w:val="22"/>
        </w:rPr>
        <w:t xml:space="preserve">Every staff action is written to an audit log recording who acted, on what record, and when.</w:t>
      </w:r>
    </w:p>
    <w:p>
      <w:pPr>
        <w:pStyle w:val="Heading2"/>
        <w:keepNext/>
        <w:spacing w:after="110" w:before="260"/>
      </w:pPr>
      <w:r>
        <w:rPr>
          <w:rFonts w:ascii="Calibri" w:cs="Calibri" w:eastAsia="Calibri" w:hAnsi="Calibri"/>
          <w:b/>
          <w:bCs/>
          <w:color w:val="191C1D"/>
          <w:sz w:val="25"/>
          <w:szCs w:val="25"/>
        </w:rPr>
        <w:t xml:space="preserve">3.4  Verification</w:t>
      </w:r>
    </w:p>
    <w:p>
      <w:pPr>
        <w:spacing w:after="140" w:line="288"/>
        <w:jc w:val="both"/>
      </w:pPr>
      <w:r>
        <w:rPr>
          <w:rFonts w:ascii="Calibri" w:cs="Calibri" w:eastAsia="Calibri" w:hAnsi="Calibri"/>
          <w:color w:val="191C1D"/>
          <w:sz w:val="22"/>
          <w:szCs w:val="22"/>
        </w:rPr>
        <w:t xml:space="preserve">The prototype was verified by repeatable means rather than by demonstration alone. Two hundred and twenty-four automated tests pass across seven suites; most exercise the real interface against a real database rather than testing components in isolation.</w:t>
      </w:r>
    </w:p>
    <w:p>
      <w:pPr>
        <w:spacing w:after="140" w:line="288"/>
        <w:jc w:val="both"/>
      </w:pPr>
      <w:r>
        <w:rPr>
          <w:rFonts w:ascii="Calibri" w:cs="Calibri" w:eastAsia="Calibri" w:hAnsi="Calibri"/>
          <w:color w:val="191C1D"/>
          <w:sz w:val="22"/>
          <w:szCs w:val="22"/>
        </w:rPr>
        <w:t xml:space="preserve">Because a poorly written test passes regardless of what the code does, the important tests were themselves checked: each corresponding feature was deliberately disabled and the tests confirmed to fail. Disabling the uploaded-file type check, for example, caused nine tests to fail. A test that cannot fail is not evidence.</w:t>
      </w:r>
    </w:p>
    <w:p>
      <w:pPr>
        <w:spacing w:after="140" w:line="288"/>
        <w:jc w:val="both"/>
      </w:pPr>
      <w:r>
        <w:rPr>
          <w:rFonts w:ascii="Calibri" w:cs="Calibri" w:eastAsia="Calibri" w:hAnsi="Calibri"/>
          <w:color w:val="191C1D"/>
          <w:sz w:val="22"/>
          <w:szCs w:val="22"/>
        </w:rPr>
        <w:t xml:space="preserve">Verification also found genuine defects that inspection had missed — most seriously, patron registration was found to be entirely non-functional, and a rate limit intended to be per-user was found to be shared across all users, so that one person could have prevented everybody else from signing in. Both were corrected. This is reported here because it demonstrates the value of the verification step, not in spite of the fact that it found problems.</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4.  Systems Alternatives</w:t>
      </w:r>
    </w:p>
    <w:p>
      <w:pPr>
        <w:spacing w:after="140" w:line="288"/>
        <w:jc w:val="both"/>
      </w:pPr>
      <w:r>
        <w:rPr>
          <w:rFonts w:ascii="Calibri" w:cs="Calibri" w:eastAsia="Calibri" w:hAnsi="Calibri"/>
          <w:color w:val="191C1D"/>
          <w:sz w:val="22"/>
          <w:szCs w:val="22"/>
        </w:rPr>
        <w:t xml:space="preserve">Three alternatives were considered. Each is assessed below against technical, economic and operational feasibility.</w:t>
      </w:r>
    </w:p>
    <w:p>
      <w:pPr>
        <w:pStyle w:val="Heading2"/>
        <w:keepNext/>
        <w:spacing w:after="110" w:before="260"/>
      </w:pPr>
      <w:r>
        <w:rPr>
          <w:rFonts w:ascii="Calibri" w:cs="Calibri" w:eastAsia="Calibri" w:hAnsi="Calibri"/>
          <w:b/>
          <w:bCs/>
          <w:color w:val="191C1D"/>
          <w:sz w:val="25"/>
          <w:szCs w:val="25"/>
        </w:rPr>
        <w:t xml:space="preserve">4.1  Alternative A — retain the present arrangement</w:t>
      </w:r>
    </w:p>
    <w:p>
      <w:pPr>
        <w:spacing w:after="140" w:line="288"/>
        <w:jc w:val="both"/>
      </w:pPr>
      <w:r>
        <w:rPr>
          <w:rFonts w:ascii="Calibri" w:cs="Calibri" w:eastAsia="Calibri" w:hAnsi="Calibri"/>
          <w:color w:val="191C1D"/>
          <w:sz w:val="22"/>
          <w:szCs w:val="22"/>
        </w:rPr>
        <w:t xml:space="preserve">Continue with manual and spreadsheet-based circulation, with no new system.</w:t>
      </w:r>
    </w:p>
    <w:p>
      <w:pPr>
        <w:pStyle w:val="Heading3"/>
        <w:keepNext/>
        <w:spacing w:after="90" w:before="200"/>
      </w:pPr>
      <w:r>
        <w:rPr>
          <w:rFonts w:ascii="Calibri" w:cs="Calibri" w:eastAsia="Calibri" w:hAnsi="Calibri"/>
          <w:b/>
          <w:bCs/>
          <w:color w:val="00652C"/>
          <w:sz w:val="22"/>
          <w:szCs w:val="22"/>
        </w:rPr>
        <w:t xml:space="preserve">Feasibility</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1900"/>
        <w:gridCol w:w="7120"/>
      </w:tblGrid>
      <w:tr>
        <w:trPr>
          <w:tblHeader/>
        </w:trPr>
        <w:tc>
          <w:tcPr>
            <w:tcW w:type="dxa" w:w="19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Criterion</w:t>
            </w:r>
          </w:p>
        </w:tc>
        <w:tc>
          <w:tcPr>
            <w:tcW w:type="dxa" w:w="71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Assessment</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Technical</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Feasible by definition; no new technology is introduced.</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Economic</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 capital outlay, but the recurring cost of staff time spent on manual calculation and record inspection continues indefinitely, as does revenue lost to fines that are miscalculated or not pursued.</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Operational</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Already operating and requires no change in staff behaviour, but it does not address any of problems P1 to P6.</w:t>
            </w:r>
          </w:p>
        </w:tc>
      </w:tr>
    </w:tbl>
    <w:p>
      <w:pPr>
        <w:spacing w:after="140" w:line="288"/>
        <w:jc w:val="both"/>
      </w:pPr>
      <w:r>
        <w:rPr>
          <w:rFonts w:ascii="Calibri" w:cs="Calibri" w:eastAsia="Calibri" w:hAnsi="Calibri"/>
          <w:i/>
          <w:iCs/>
          <w:color w:val="191C1D"/>
          <w:sz w:val="22"/>
          <w:szCs w:val="22"/>
        </w:rPr>
        <w:t xml:space="preserve">Rejected. It resolves nothing. It is retained in this analysis as the baseline against which the other alternatives are measured.</w:t>
      </w:r>
    </w:p>
    <w:p>
      <w:pPr>
        <w:pStyle w:val="Heading2"/>
        <w:keepNext/>
        <w:spacing w:after="110" w:before="260"/>
      </w:pPr>
      <w:r>
        <w:rPr>
          <w:rFonts w:ascii="Calibri" w:cs="Calibri" w:eastAsia="Calibri" w:hAnsi="Calibri"/>
          <w:b/>
          <w:bCs/>
          <w:color w:val="191C1D"/>
          <w:sz w:val="25"/>
          <w:szCs w:val="25"/>
        </w:rPr>
        <w:t xml:space="preserve">4.2  Alternative B — procure a commercial system</w:t>
      </w:r>
    </w:p>
    <w:p>
      <w:pPr>
        <w:spacing w:after="140" w:line="288"/>
        <w:jc w:val="both"/>
      </w:pPr>
      <w:r>
        <w:rPr>
          <w:rFonts w:ascii="Calibri" w:cs="Calibri" w:eastAsia="Calibri" w:hAnsi="Calibri"/>
          <w:color w:val="191C1D"/>
          <w:sz w:val="22"/>
          <w:szCs w:val="22"/>
        </w:rPr>
        <w:t xml:space="preserve">Acquire an established integrated library system from a vendor and configure it for the University.</w:t>
      </w:r>
    </w:p>
    <w:p>
      <w:pPr>
        <w:pStyle w:val="Heading3"/>
        <w:keepNext/>
        <w:spacing w:after="90" w:before="200"/>
      </w:pPr>
      <w:r>
        <w:rPr>
          <w:rFonts w:ascii="Calibri" w:cs="Calibri" w:eastAsia="Calibri" w:hAnsi="Calibri"/>
          <w:b/>
          <w:bCs/>
          <w:color w:val="00652C"/>
          <w:sz w:val="22"/>
          <w:szCs w:val="22"/>
        </w:rPr>
        <w:t xml:space="preserve">Feasibility</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1900"/>
        <w:gridCol w:w="7120"/>
      </w:tblGrid>
      <w:tr>
        <w:trPr>
          <w:tblHeader/>
        </w:trPr>
        <w:tc>
          <w:tcPr>
            <w:tcW w:type="dxa" w:w="19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Criterion</w:t>
            </w:r>
          </w:p>
        </w:tc>
        <w:tc>
          <w:tcPr>
            <w:tcW w:type="dxa" w:w="71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Assessment</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Technical</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Feasible. Mature products exist and are proven at institutions of this size. Some are open source, which reduces but does not remove cost.</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Economic</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Typically licensed per seat or per institution with annual renewal, plus paid configuration and migration. The cost recurs for as long as the system is used, and is not within the University's control.</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Operational</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Requires substantial staff retraining. The University must adapt its practice to the product; changes to suit the KNUST branch structure depend on the vendor's willingness and timetable.</w:t>
            </w:r>
          </w:p>
        </w:tc>
      </w:tr>
    </w:tbl>
    <w:p>
      <w:pPr>
        <w:spacing w:after="140" w:line="288"/>
        <w:jc w:val="both"/>
      </w:pPr>
      <w:r>
        <w:rPr>
          <w:rFonts w:ascii="Calibri" w:cs="Calibri" w:eastAsia="Calibri" w:hAnsi="Calibri"/>
          <w:i/>
          <w:iCs/>
          <w:color w:val="191C1D"/>
          <w:sz w:val="22"/>
          <w:szCs w:val="22"/>
        </w:rPr>
        <w:t xml:space="preserve">Not recommended, though it is a legitimate option. It would solve the problems, but at a recurring cost, with the University dependent on a third party for changes and holding its data in a system it does not control.</w:t>
      </w:r>
    </w:p>
    <w:p>
      <w:pPr>
        <w:pStyle w:val="Heading2"/>
        <w:keepNext/>
        <w:spacing w:after="110" w:before="260"/>
      </w:pPr>
      <w:r>
        <w:rPr>
          <w:rFonts w:ascii="Calibri" w:cs="Calibri" w:eastAsia="Calibri" w:hAnsi="Calibri"/>
          <w:b/>
          <w:bCs/>
          <w:color w:val="191C1D"/>
          <w:sz w:val="25"/>
          <w:szCs w:val="25"/>
        </w:rPr>
        <w:t xml:space="preserve">4.3  Alternative C — develop a purpose-built system (Tameion)</w:t>
      </w:r>
    </w:p>
    <w:p>
      <w:pPr>
        <w:spacing w:after="140" w:line="288"/>
        <w:jc w:val="both"/>
      </w:pPr>
      <w:r>
        <w:rPr>
          <w:rFonts w:ascii="Calibri" w:cs="Calibri" w:eastAsia="Calibri" w:hAnsi="Calibri"/>
          <w:color w:val="191C1D"/>
          <w:sz w:val="22"/>
          <w:szCs w:val="22"/>
        </w:rPr>
        <w:t xml:space="preserve">Develop a web application specific to the KNUST library, owned by the University.</w:t>
      </w:r>
    </w:p>
    <w:p>
      <w:pPr>
        <w:pStyle w:val="Heading3"/>
        <w:keepNext/>
        <w:spacing w:after="90" w:before="200"/>
      </w:pPr>
      <w:r>
        <w:rPr>
          <w:rFonts w:ascii="Calibri" w:cs="Calibri" w:eastAsia="Calibri" w:hAnsi="Calibri"/>
          <w:b/>
          <w:bCs/>
          <w:color w:val="00652C"/>
          <w:sz w:val="22"/>
          <w:szCs w:val="22"/>
        </w:rPr>
        <w:t xml:space="preserve">Feasibility</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1900"/>
        <w:gridCol w:w="7120"/>
      </w:tblGrid>
      <w:tr>
        <w:trPr>
          <w:tblHeader/>
        </w:trPr>
        <w:tc>
          <w:tcPr>
            <w:tcW w:type="dxa" w:w="19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Criterion</w:t>
            </w:r>
          </w:p>
        </w:tc>
        <w:tc>
          <w:tcPr>
            <w:tcW w:type="dxa" w:w="71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Assessment</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Technical</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Demonstrated rather than estimated. A complete working system exists, built on established open-source technologies, and its correctness has been verified by 224 automated tests and by endpoint testing of all 45 interfaces.</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Economic</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 licence fee. Development is already complete. The recurring cost is limited to hosting and maintenance. Indicative figures are given in Section 5.3.</w:t>
            </w:r>
          </w:p>
        </w:tc>
      </w:tr>
      <w:tr>
        <w:tc>
          <w:tcPr>
            <w:tcW w:type="dxa" w:w="19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Operational</w:t>
            </w:r>
          </w:p>
        </w:tc>
        <w:tc>
          <w:tcPr>
            <w:tcW w:type="dxa" w:w="7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Built around existing KNUST practice, including the branch structure and the KNUST identification number, so staff and students meet familiar concepts. Training need is modest; a demonstration and a short guide should suffice for circulation staff.</w:t>
            </w:r>
          </w:p>
        </w:tc>
      </w:tr>
    </w:tbl>
    <w:p>
      <w:pPr>
        <w:spacing w:after="140" w:line="288"/>
        <w:jc w:val="both"/>
      </w:pPr>
      <w:r>
        <w:rPr>
          <w:rFonts w:ascii="Calibri" w:cs="Calibri" w:eastAsia="Calibri" w:hAnsi="Calibri"/>
          <w:i/>
          <w:iCs/>
          <w:color w:val="191C1D"/>
          <w:sz w:val="22"/>
          <w:szCs w:val="22"/>
        </w:rPr>
        <w:t xml:space="preserve">Recommended. See Section 5.</w:t>
      </w:r>
    </w:p>
    <w:p>
      <w:pPr>
        <w:pStyle w:val="Heading2"/>
        <w:keepNext/>
        <w:spacing w:after="110" w:before="260"/>
      </w:pPr>
      <w:r>
        <w:rPr>
          <w:rFonts w:ascii="Calibri" w:cs="Calibri" w:eastAsia="Calibri" w:hAnsi="Calibri"/>
          <w:b/>
          <w:bCs/>
          <w:color w:val="191C1D"/>
          <w:sz w:val="25"/>
          <w:szCs w:val="25"/>
        </w:rPr>
        <w:t xml:space="preserve">4.4  Comparison</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2700"/>
        <w:gridCol w:w="2100"/>
        <w:gridCol w:w="2100"/>
        <w:gridCol w:w="2120"/>
      </w:tblGrid>
      <w:tr>
        <w:trPr>
          <w:tblHeader/>
        </w:trPr>
        <w:tc>
          <w:tcPr>
            <w:tcW w:type="dxa" w:w="27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Criterion</w:t>
            </w:r>
          </w:p>
        </w:tc>
        <w:tc>
          <w:tcPr>
            <w:tcW w:type="dxa" w:w="21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 — Present</w:t>
            </w:r>
          </w:p>
        </w:tc>
        <w:tc>
          <w:tcPr>
            <w:tcW w:type="dxa" w:w="21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B — Commercial</w:t>
            </w:r>
          </w:p>
        </w:tc>
        <w:tc>
          <w:tcPr>
            <w:tcW w:type="dxa" w:w="21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 — Tameion</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Addresses P1 to P6</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Yes</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Yes</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Initial cost</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None</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High</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Already incurred</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Recurring licence</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None</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Annual, per seat</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None</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Fits branch structure</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n/a</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By configuration</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By design</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University owns the data</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Yes</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Depends on vendor</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Yes</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Can be modified locally</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n/a</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Yes</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Staff retraining needed</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None</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Substantial</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Modest</w:t>
            </w:r>
          </w:p>
        </w:tc>
      </w:tr>
      <w:tr>
        <w:tc>
          <w:tcPr>
            <w:tcW w:type="dxa" w:w="2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Demonstrated working</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n/a</w:t>
            </w:r>
          </w:p>
        </w:tc>
        <w:tc>
          <w:tcPr>
            <w:tcW w:type="dxa" w:w="21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Vendor demo</w:t>
            </w:r>
          </w:p>
        </w:tc>
        <w:tc>
          <w:tcPr>
            <w:tcW w:type="dxa" w:w="2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Yes, verified</w:t>
            </w:r>
          </w:p>
        </w:tc>
      </w:tr>
    </w:tbl>
    <w:p>
      <w:pPr>
        <w:spacing w:after="200" w:before="60"/>
      </w:pPr>
      <w:r>
        <w:rPr>
          <w:rFonts w:ascii="Calibri" w:cs="Calibri" w:eastAsia="Calibri" w:hAnsi="Calibri"/>
          <w:i/>
          <w:iCs/>
          <w:color w:val="5A6560"/>
          <w:sz w:val="18"/>
          <w:szCs w:val="18"/>
        </w:rPr>
        <w:t xml:space="preserve">Table 6 — Comparison of the three alternatives.</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5.  Recommendations</w:t>
      </w:r>
    </w:p>
    <w:p>
      <w:pPr>
        <w:pStyle w:val="Heading2"/>
        <w:keepNext/>
        <w:spacing w:after="110" w:before="260"/>
      </w:pPr>
      <w:r>
        <w:rPr>
          <w:rFonts w:ascii="Calibri" w:cs="Calibri" w:eastAsia="Calibri" w:hAnsi="Calibri"/>
          <w:b/>
          <w:bCs/>
          <w:color w:val="191C1D"/>
          <w:sz w:val="25"/>
          <w:szCs w:val="25"/>
        </w:rPr>
        <w:t xml:space="preserve">5.1  Recommendation</w:t>
      </w:r>
    </w:p>
    <w:p>
      <w:pPr>
        <w:spacing w:after="140" w:line="288"/>
        <w:jc w:val="both"/>
      </w:pPr>
      <w:r>
        <w:rPr>
          <w:rFonts w:ascii="Calibri" w:cs="Calibri" w:eastAsia="Calibri" w:hAnsi="Calibri"/>
          <w:color w:val="191C1D"/>
          <w:sz w:val="22"/>
          <w:szCs w:val="22"/>
        </w:rPr>
        <w:t xml:space="preserve">We recommend that the University adopt Alternative C and deploy Tameion, beginning with a pilot at a single branch library as set out in Section 5.2.</w:t>
      </w:r>
    </w:p>
    <w:p>
      <w:pPr>
        <w:spacing w:after="140" w:line="288"/>
        <w:jc w:val="both"/>
      </w:pPr>
      <w:r>
        <w:rPr>
          <w:rFonts w:ascii="Calibri" w:cs="Calibri" w:eastAsia="Calibri" w:hAnsi="Calibri"/>
          <w:color w:val="191C1D"/>
          <w:sz w:val="22"/>
          <w:szCs w:val="22"/>
        </w:rPr>
        <w:t xml:space="preserve">The grounds are these. It is the only alternative that addresses all six identified problems while leaving the University in control of both the software and the data. Its technical feasibility is demonstrated rather than asserted: the system exists, it runs, and its behaviour has been verified by repeatable automated means. It carries no recurring licence, so the cost of ownership is limited to hosting and maintenance. And because it was designed around existing KNUST practice, the operational disruption of adopting it is small.</w:t>
      </w:r>
    </w:p>
    <w:p>
      <w:pPr>
        <w:pStyle w:val="Heading2"/>
        <w:keepNext/>
        <w:spacing w:after="110" w:before="260"/>
      </w:pPr>
      <w:r>
        <w:rPr>
          <w:rFonts w:ascii="Calibri" w:cs="Calibri" w:eastAsia="Calibri" w:hAnsi="Calibri"/>
          <w:b/>
          <w:bCs/>
          <w:color w:val="191C1D"/>
          <w:sz w:val="25"/>
          <w:szCs w:val="25"/>
        </w:rPr>
        <w:t xml:space="preserve">5.2  Proposed implementation</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1200"/>
        <w:gridCol w:w="1700"/>
        <w:gridCol w:w="6120"/>
      </w:tblGrid>
      <w:tr>
        <w:trPr>
          <w:tblHeader/>
        </w:trPr>
        <w:tc>
          <w:tcPr>
            <w:tcW w:type="dxa" w:w="12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Phase</w:t>
            </w:r>
          </w:p>
        </w:tc>
        <w:tc>
          <w:tcPr>
            <w:tcW w:type="dxa" w:w="17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Indicative</w:t>
            </w:r>
          </w:p>
        </w:tc>
        <w:tc>
          <w:tcPr>
            <w:tcW w:type="dxa" w:w="61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Activity</w:t>
            </w:r>
          </w:p>
        </w:tc>
      </w:tr>
      <w:tr>
        <w:tc>
          <w:tcPr>
            <w:tcW w:type="dxa" w:w="12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1</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2 weeks</w:t>
            </w:r>
          </w:p>
        </w:tc>
        <w:tc>
          <w:tcPr>
            <w:tcW w:type="dxa" w:w="6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Deploy to a University server. Load the existing catalogue by bulk import. Create staff accounts. Verify against a sample of known records.</w:t>
            </w:r>
          </w:p>
        </w:tc>
      </w:tr>
      <w:tr>
        <w:tc>
          <w:tcPr>
            <w:tcW w:type="dxa" w:w="12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2</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1 week</w:t>
            </w:r>
          </w:p>
        </w:tc>
        <w:tc>
          <w:tcPr>
            <w:tcW w:type="dxa" w:w="6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Train circulation staff. Run the pilot branch in parallel with existing practice so that results can be compared and confidence established.</w:t>
            </w:r>
          </w:p>
        </w:tc>
      </w:tr>
      <w:tr>
        <w:tc>
          <w:tcPr>
            <w:tcW w:type="dxa" w:w="12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3</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4 weeks</w:t>
            </w:r>
          </w:p>
        </w:tc>
        <w:tc>
          <w:tcPr>
            <w:tcW w:type="dxa" w:w="6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Pilot at one branch. Patron self-service opened to students of that college. Collect defects and feedback; correct and redeploy.</w:t>
            </w:r>
          </w:p>
        </w:tc>
      </w:tr>
      <w:tr>
        <w:tc>
          <w:tcPr>
            <w:tcW w:type="dxa" w:w="12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4</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6 weeks</w:t>
            </w:r>
          </w:p>
        </w:tc>
        <w:tc>
          <w:tcPr>
            <w:tcW w:type="dxa" w:w="6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Extend to the remaining branches, one at a time, each with a short parallel period.</w:t>
            </w:r>
          </w:p>
        </w:tc>
      </w:tr>
      <w:tr>
        <w:tc>
          <w:tcPr>
            <w:tcW w:type="dxa" w:w="12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5</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Ongoing</w:t>
            </w:r>
          </w:p>
        </w:tc>
        <w:tc>
          <w:tcPr>
            <w:tcW w:type="dxa" w:w="6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Withdraw the manual process. Maintain, and consider the extensions listed in Section 5.4.</w:t>
            </w:r>
          </w:p>
        </w:tc>
      </w:tr>
    </w:tbl>
    <w:p>
      <w:pPr>
        <w:spacing w:after="200" w:before="60"/>
      </w:pPr>
      <w:r>
        <w:rPr>
          <w:rFonts w:ascii="Calibri" w:cs="Calibri" w:eastAsia="Calibri" w:hAnsi="Calibri"/>
          <w:i/>
          <w:iCs/>
          <w:color w:val="5A6560"/>
          <w:sz w:val="18"/>
          <w:szCs w:val="18"/>
        </w:rPr>
        <w:t xml:space="preserve">Table 7 — Proposed phased implementation. Durations are indicative and should be agreed with the Library.</w:t>
      </w:r>
    </w:p>
    <w:p>
      <w:pPr>
        <w:pStyle w:val="Heading2"/>
        <w:keepNext/>
        <w:spacing w:after="110" w:before="260"/>
      </w:pPr>
      <w:r>
        <w:rPr>
          <w:rFonts w:ascii="Calibri" w:cs="Calibri" w:eastAsia="Calibri" w:hAnsi="Calibri"/>
          <w:b/>
          <w:bCs/>
          <w:color w:val="191C1D"/>
          <w:sz w:val="25"/>
          <w:szCs w:val="25"/>
        </w:rPr>
        <w:t xml:space="preserve">5.3  Indicative costs and benefits</w:t>
      </w:r>
    </w:p>
    <w:p>
      <w:pPr>
        <w:pBdr>
          <w:left w:val="single" w:color="92400E" w:sz="14" w:space="10"/>
        </w:pBdr>
        <w:spacing w:after="180" w:before="120"/>
        <w:ind w:left="220" w:right="220"/>
      </w:pPr>
      <w:r>
        <w:rPr>
          <w:rFonts w:ascii="Calibri" w:cs="Calibri" w:eastAsia="Calibri" w:hAnsi="Calibri"/>
          <w:i/>
          <w:iCs/>
          <w:color w:val="191C1D"/>
          <w:sz w:val="20"/>
          <w:szCs w:val="20"/>
        </w:rPr>
        <w:t xml:space="preserve">The figures below are indicative estimates prepared for academic evaluation. They have not been obtained from suppliers and must be replaced with formal quotations before any procurement decision is taken. Development cost is stated as the notional value of student effort already expended; it is not a charge to the University.</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4200"/>
        <w:gridCol w:w="2400"/>
        <w:gridCol w:w="2420"/>
      </w:tblGrid>
      <w:tr>
        <w:trPr>
          <w:tblHeader/>
        </w:trPr>
        <w:tc>
          <w:tcPr>
            <w:tcW w:type="dxa" w:w="42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Item</w:t>
            </w:r>
          </w:p>
        </w:tc>
        <w:tc>
          <w:tcPr>
            <w:tcW w:type="dxa" w:w="24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Basis</w:t>
            </w:r>
          </w:p>
        </w:tc>
        <w:tc>
          <w:tcPr>
            <w:tcW w:type="dxa" w:w="24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Indicative (GHS)</w:t>
            </w:r>
          </w:p>
        </w:tc>
      </w:tr>
      <w:tr>
        <w:tc>
          <w:tcPr>
            <w:tcW w:type="dxa" w:w="4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Development effort (already expended)</w:t>
            </w:r>
          </w:p>
        </w:tc>
        <w:tc>
          <w:tcPr>
            <w:tcW w:type="dxa" w:w="2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5 students, 12 weeks</w:t>
            </w:r>
          </w:p>
        </w:tc>
        <w:tc>
          <w:tcPr>
            <w:tcW w:type="dxa" w:w="2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Not chargeable</w:t>
            </w:r>
          </w:p>
        </w:tc>
      </w:tr>
      <w:tr>
        <w:tc>
          <w:tcPr>
            <w:tcW w:type="dxa" w:w="4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Server hosting</w:t>
            </w:r>
          </w:p>
        </w:tc>
        <w:tc>
          <w:tcPr>
            <w:tcW w:type="dxa" w:w="2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Per year</w:t>
            </w:r>
          </w:p>
        </w:tc>
        <w:tc>
          <w:tcPr>
            <w:tcW w:type="dxa" w:w="2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4,000 – 6,000</w:t>
            </w:r>
          </w:p>
        </w:tc>
      </w:tr>
      <w:tr>
        <w:tc>
          <w:tcPr>
            <w:tcW w:type="dxa" w:w="4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Domain name and certificate</w:t>
            </w:r>
          </w:p>
        </w:tc>
        <w:tc>
          <w:tcPr>
            <w:tcW w:type="dxa" w:w="2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Per year; certificate free</w:t>
            </w:r>
          </w:p>
        </w:tc>
        <w:tc>
          <w:tcPr>
            <w:tcW w:type="dxa" w:w="2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200 – 400</w:t>
            </w:r>
          </w:p>
        </w:tc>
      </w:tr>
      <w:tr>
        <w:tc>
          <w:tcPr>
            <w:tcW w:type="dxa" w:w="4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Staff training</w:t>
            </w:r>
          </w:p>
        </w:tc>
        <w:tc>
          <w:tcPr>
            <w:tcW w:type="dxa" w:w="2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One session per branch</w:t>
            </w:r>
          </w:p>
        </w:tc>
        <w:tc>
          <w:tcPr>
            <w:tcW w:type="dxa" w:w="2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1,000 – 2,000</w:t>
            </w:r>
          </w:p>
        </w:tc>
      </w:tr>
      <w:tr>
        <w:tc>
          <w:tcPr>
            <w:tcW w:type="dxa" w:w="4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Maintenance and support</w:t>
            </w:r>
          </w:p>
        </w:tc>
        <w:tc>
          <w:tcPr>
            <w:tcW w:type="dxa" w:w="2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Per year</w:t>
            </w:r>
          </w:p>
        </w:tc>
        <w:tc>
          <w:tcPr>
            <w:tcW w:type="dxa" w:w="2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To be agreed</w:t>
            </w:r>
          </w:p>
        </w:tc>
      </w:tr>
      <w:tr>
        <w:tc>
          <w:tcPr>
            <w:tcW w:type="dxa" w:w="4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Existing computers and network</w:t>
            </w:r>
          </w:p>
        </w:tc>
        <w:tc>
          <w:tcPr>
            <w:tcW w:type="dxa" w:w="2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Reused; no upgrade identified</w:t>
            </w:r>
          </w:p>
        </w:tc>
        <w:tc>
          <w:tcPr>
            <w:tcW w:type="dxa" w:w="2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Nil</w:t>
            </w:r>
          </w:p>
        </w:tc>
      </w:tr>
    </w:tbl>
    <w:p>
      <w:pPr>
        <w:spacing w:after="200" w:before="60"/>
      </w:pPr>
      <w:r>
        <w:rPr>
          <w:rFonts w:ascii="Calibri" w:cs="Calibri" w:eastAsia="Calibri" w:hAnsi="Calibri"/>
          <w:i/>
          <w:iCs/>
          <w:color w:val="5A6560"/>
          <w:sz w:val="18"/>
          <w:szCs w:val="18"/>
        </w:rPr>
        <w:t xml:space="preserve">Table 8 — Indicative cost of adoption. Estimates only; see the note above.</w:t>
      </w:r>
    </w:p>
    <w:p>
      <w:pPr>
        <w:pStyle w:val="Heading3"/>
        <w:keepNext/>
        <w:spacing w:after="90" w:before="200"/>
      </w:pPr>
      <w:r>
        <w:rPr>
          <w:rFonts w:ascii="Calibri" w:cs="Calibri" w:eastAsia="Calibri" w:hAnsi="Calibri"/>
          <w:b/>
          <w:bCs/>
          <w:color w:val="00652C"/>
          <w:sz w:val="22"/>
          <w:szCs w:val="22"/>
        </w:rPr>
        <w:t xml:space="preserve">Benefits</w:t>
      </w:r>
    </w:p>
    <w:p>
      <w:pPr>
        <w:spacing w:after="140" w:line="288"/>
        <w:jc w:val="both"/>
      </w:pPr>
      <w:r>
        <w:rPr>
          <w:rFonts w:ascii="Calibri" w:cs="Calibri" w:eastAsia="Calibri" w:hAnsi="Calibri"/>
          <w:color w:val="191C1D"/>
          <w:sz w:val="22"/>
          <w:szCs w:val="22"/>
        </w:rPr>
        <w:t xml:space="preserve">Tangible benefits arise principally from staff time released at the circulation desk, from fines being calculated correctly and consistently rather than estimated, and from improved traceability of stock. Each of these can be quantified once the pilot has produced measurements; they are deliberately not given a figure here, because to do so before the pilot would be to invent one.</w:t>
      </w:r>
    </w:p>
    <w:p>
      <w:pPr>
        <w:spacing w:after="140" w:line="288"/>
        <w:jc w:val="both"/>
      </w:pPr>
      <w:r>
        <w:rPr>
          <w:rFonts w:ascii="Calibri" w:cs="Calibri" w:eastAsia="Calibri" w:hAnsi="Calibri"/>
          <w:color w:val="191C1D"/>
          <w:sz w:val="22"/>
          <w:szCs w:val="22"/>
        </w:rPr>
        <w:t xml:space="preserve">Intangible benefits are, in our assessment, the more significant. Patrons can determine availability before travelling. Records are accurate and disputes can be settled from evidence. Staff actions are accountable. And the Library gains, for the first time, reliable information on which to base decisions about stock and staffing.</w:t>
      </w:r>
    </w:p>
    <w:p>
      <w:pPr>
        <w:pStyle w:val="Heading2"/>
        <w:keepNext/>
        <w:spacing w:after="110" w:before="260"/>
      </w:pPr>
      <w:r>
        <w:rPr>
          <w:rFonts w:ascii="Calibri" w:cs="Calibri" w:eastAsia="Calibri" w:hAnsi="Calibri"/>
          <w:b/>
          <w:bCs/>
          <w:color w:val="191C1D"/>
          <w:sz w:val="25"/>
          <w:szCs w:val="25"/>
        </w:rPr>
        <w:t xml:space="preserve">5.4  Risks</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3000"/>
        <w:gridCol w:w="2500"/>
        <w:gridCol w:w="3520"/>
      </w:tblGrid>
      <w:tr>
        <w:trPr>
          <w:tblHeader/>
        </w:trPr>
        <w:tc>
          <w:tcPr>
            <w:tcW w:type="dxa" w:w="30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Risk</w:t>
            </w:r>
          </w:p>
        </w:tc>
        <w:tc>
          <w:tcPr>
            <w:tcW w:type="dxa" w:w="25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Assessment</w:t>
            </w:r>
          </w:p>
        </w:tc>
        <w:tc>
          <w:tcPr>
            <w:tcW w:type="dxa" w:w="35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Mitigation</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Catalogue data is incomplete or inconsistent at import</w:t>
            </w:r>
          </w:p>
        </w:tc>
        <w:tc>
          <w:tcPr>
            <w:tcW w:type="dxa" w:w="25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Likely</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Bulk import supports correction and re-import; verify a sample against the shelves during Phase 1</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Staff resistance to a new procedure</w:t>
            </w:r>
          </w:p>
        </w:tc>
        <w:tc>
          <w:tcPr>
            <w:tcW w:type="dxa" w:w="25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Possible</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Parallel running in Phase 2, training before go-live, and pilot at one branch before wider rollout</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Loss of network or power at the desk</w:t>
            </w:r>
          </w:p>
        </w:tc>
        <w:tc>
          <w:tcPr>
            <w:tcW w:type="dxa" w:w="25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Possible</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Retain a manual fallback register during the pilot; agree a reconciliation procedure</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 maintainer once the project team graduates</w:t>
            </w:r>
          </w:p>
        </w:tc>
        <w:tc>
          <w:tcPr>
            <w:tcW w:type="dxa" w:w="25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Likely if unaddressed</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Hand over source code and documentation to the University; agree a maintenance arrangement before Phase 5</w:t>
            </w:r>
          </w:p>
        </w:tc>
      </w:tr>
      <w:tr>
        <w:tc>
          <w:tcPr>
            <w:tcW w:type="dxa" w:w="30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Scope pressure to add payment before the pilot concludes</w:t>
            </w:r>
          </w:p>
        </w:tc>
        <w:tc>
          <w:tcPr>
            <w:tcW w:type="dxa" w:w="25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Possible</w:t>
            </w:r>
          </w:p>
        </w:tc>
        <w:tc>
          <w:tcPr>
            <w:tcW w:type="dxa" w:w="35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Hold to the phased plan; treat payment as a Phase 5 extension with its own security review</w:t>
            </w:r>
          </w:p>
        </w:tc>
      </w:tr>
    </w:tbl>
    <w:p>
      <w:pPr>
        <w:spacing w:after="200" w:before="60"/>
      </w:pPr>
      <w:r>
        <w:rPr>
          <w:rFonts w:ascii="Calibri" w:cs="Calibri" w:eastAsia="Calibri" w:hAnsi="Calibri"/>
          <w:i/>
          <w:iCs/>
          <w:color w:val="5A6560"/>
          <w:sz w:val="18"/>
          <w:szCs w:val="18"/>
        </w:rPr>
        <w:t xml:space="preserve">Table 9 — Principal risks and proposed mitigation.</w:t>
      </w:r>
    </w:p>
    <w:p>
      <w:pPr>
        <w:pStyle w:val="Heading3"/>
        <w:keepNext/>
        <w:spacing w:after="90" w:before="200"/>
      </w:pPr>
      <w:r>
        <w:rPr>
          <w:rFonts w:ascii="Calibri" w:cs="Calibri" w:eastAsia="Calibri" w:hAnsi="Calibri"/>
          <w:b/>
          <w:bCs/>
          <w:color w:val="00652C"/>
          <w:sz w:val="22"/>
          <w:szCs w:val="22"/>
        </w:rPr>
        <w:t xml:space="preserve">Recommended extensions, in priority order</w:t>
      </w:r>
    </w:p>
    <w:p>
      <w:pPr>
        <w:pStyle w:val="ListParagraph"/>
        <w:numPr>
          <w:ilvl w:val="0"/>
          <w:numId w:val="3"/>
        </w:numPr>
        <w:spacing w:after="70" w:line="276"/>
      </w:pPr>
      <w:r>
        <w:rPr>
          <w:rFonts w:ascii="Calibri" w:cs="Calibri" w:eastAsia="Calibri" w:hAnsi="Calibri"/>
          <w:color w:val="191C1D"/>
          <w:sz w:val="22"/>
          <w:szCs w:val="22"/>
        </w:rPr>
        <w:t xml:space="preserve">Electronic payment of fines, with an appropriate security review before implementation.</w:t>
      </w:r>
    </w:p>
    <w:p>
      <w:pPr>
        <w:pStyle w:val="ListParagraph"/>
        <w:numPr>
          <w:ilvl w:val="0"/>
          <w:numId w:val="3"/>
        </w:numPr>
        <w:spacing w:after="70" w:line="276"/>
      </w:pPr>
      <w:r>
        <w:rPr>
          <w:rFonts w:ascii="Calibri" w:cs="Calibri" w:eastAsia="Calibri" w:hAnsi="Calibri"/>
          <w:color w:val="191C1D"/>
          <w:sz w:val="22"/>
          <w:szCs w:val="22"/>
        </w:rPr>
        <w:t xml:space="preserve">Reminders by email or SMS before a book falls due, rather than after.</w:t>
      </w:r>
    </w:p>
    <w:p>
      <w:pPr>
        <w:pStyle w:val="ListParagraph"/>
        <w:numPr>
          <w:ilvl w:val="0"/>
          <w:numId w:val="3"/>
        </w:numPr>
        <w:spacing w:after="70" w:line="276"/>
      </w:pPr>
      <w:r>
        <w:rPr>
          <w:rFonts w:ascii="Calibri" w:cs="Calibri" w:eastAsia="Calibri" w:hAnsi="Calibri"/>
          <w:color w:val="191C1D"/>
          <w:sz w:val="22"/>
          <w:szCs w:val="22"/>
        </w:rPr>
        <w:t xml:space="preserve">Barcode scanning at the circulation desk to speed issue and return.</w:t>
      </w:r>
    </w:p>
    <w:p>
      <w:pPr>
        <w:pStyle w:val="ListParagraph"/>
        <w:numPr>
          <w:ilvl w:val="0"/>
          <w:numId w:val="3"/>
        </w:numPr>
        <w:spacing w:after="70" w:line="276"/>
      </w:pPr>
      <w:r>
        <w:rPr>
          <w:rFonts w:ascii="Calibri" w:cs="Calibri" w:eastAsia="Calibri" w:hAnsi="Calibri"/>
          <w:color w:val="191C1D"/>
          <w:sz w:val="22"/>
          <w:szCs w:val="22"/>
        </w:rPr>
        <w:t xml:space="preserve">A mobile application for patrons.</w:t>
      </w:r>
    </w:p>
    <w:p>
      <w:pPr>
        <w:pStyle w:val="ListParagraph"/>
        <w:numPr>
          <w:ilvl w:val="0"/>
          <w:numId w:val="3"/>
        </w:numPr>
        <w:spacing w:after="70" w:line="276"/>
      </w:pPr>
      <w:r>
        <w:rPr>
          <w:rFonts w:ascii="Calibri" w:cs="Calibri" w:eastAsia="Calibri" w:hAnsi="Calibri"/>
          <w:color w:val="191C1D"/>
          <w:sz w:val="22"/>
          <w:szCs w:val="22"/>
        </w:rPr>
        <w:t xml:space="preserve">Integration with the University student records system, so that membership follows enrolment.</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6.  Summary</w:t>
      </w:r>
    </w:p>
    <w:p>
      <w:pPr>
        <w:spacing w:after="140" w:line="288"/>
        <w:jc w:val="both"/>
      </w:pPr>
      <w:r>
        <w:rPr>
          <w:rFonts w:ascii="Calibri" w:cs="Calibri" w:eastAsia="Calibri" w:hAnsi="Calibri"/>
          <w:color w:val="191C1D"/>
          <w:sz w:val="22"/>
          <w:szCs w:val="22"/>
        </w:rPr>
        <w:t xml:space="preserve">A systems study of circulation practice in the KNUST University Library System identified six recurring problems, of which the inability to check availability remotely and the manual calculation of fines are the most consequential.</w:t>
      </w:r>
    </w:p>
    <w:p>
      <w:pPr>
        <w:spacing w:after="140" w:line="288"/>
        <w:jc w:val="both"/>
      </w:pPr>
      <w:r>
        <w:rPr>
          <w:rFonts w:ascii="Calibri" w:cs="Calibri" w:eastAsia="Calibri" w:hAnsi="Calibri"/>
          <w:color w:val="191C1D"/>
          <w:sz w:val="22"/>
          <w:szCs w:val="22"/>
        </w:rPr>
        <w:t xml:space="preserve">Fourteen functional and six non-functional requirements were derived from those problems, each traced to the problem that motivates it. Three alternatives were evaluated against technical, economic and operational feasibility.</w:t>
      </w:r>
    </w:p>
    <w:p>
      <w:pPr>
        <w:spacing w:after="140" w:line="288"/>
        <w:jc w:val="both"/>
      </w:pPr>
      <w:r>
        <w:rPr>
          <w:rFonts w:ascii="Calibri" w:cs="Calibri" w:eastAsia="Calibri" w:hAnsi="Calibri"/>
          <w:color w:val="191C1D"/>
          <w:sz w:val="22"/>
          <w:szCs w:val="22"/>
        </w:rPr>
        <w:t xml:space="preserve">We recommend the development alternative, Tameion, and note that its technical feasibility is not a matter of estimation: the system has been built and verified, with 224 automated tests passing, all 45 interfaces confirmed, and a clean start from an empty database producing no errors. Verification also exposed two genuine defects that inspection alone had missed, both since corrected.</w:t>
      </w:r>
    </w:p>
    <w:p>
      <w:pPr>
        <w:spacing w:after="140" w:line="288"/>
        <w:jc w:val="both"/>
      </w:pPr>
      <w:r>
        <w:rPr>
          <w:rFonts w:ascii="Calibri" w:cs="Calibri" w:eastAsia="Calibri" w:hAnsi="Calibri"/>
          <w:color w:val="191C1D"/>
          <w:sz w:val="22"/>
          <w:szCs w:val="22"/>
        </w:rPr>
        <w:t xml:space="preserve">We propose a five-phase implementation beginning with a pilot at a single branch, at an indicative first-year cost of between five and eight thousand Ghana cedis, with no recurring licence fee and with the University retaining ownership of both the software and the data.</w:t>
      </w:r>
    </w:p>
    <w:p>
      <w:pPr>
        <w:spacing w:after="140" w:line="288"/>
        <w:jc w:val="both"/>
      </w:pPr>
      <w:r>
        <w:rPr>
          <w:rFonts w:ascii="Calibri" w:cs="Calibri" w:eastAsia="Calibri" w:hAnsi="Calibri"/>
          <w:color w:val="191C1D"/>
          <w:sz w:val="22"/>
          <w:szCs w:val="22"/>
        </w:rPr>
        <w:t xml:space="preserve">We would be pleased to demonstrate the system and to answer questions.</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Appendix A — Verification Evidence</w:t>
      </w:r>
    </w:p>
    <w:p>
      <w:pPr>
        <w:spacing w:after="140" w:line="288"/>
        <w:jc w:val="both"/>
      </w:pPr>
      <w:r>
        <w:rPr>
          <w:rFonts w:ascii="Calibri" w:cs="Calibri" w:eastAsia="Calibri" w:hAnsi="Calibri"/>
          <w:color w:val="191C1D"/>
          <w:sz w:val="22"/>
          <w:szCs w:val="22"/>
        </w:rPr>
        <w:t xml:space="preserve">Every quantitative claim made in this proposal is reproducible. The table below states each claim and the command that produces it, so that any of them may be checked independently.</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3200"/>
        <w:gridCol w:w="1700"/>
        <w:gridCol w:w="4120"/>
      </w:tblGrid>
      <w:tr>
        <w:trPr>
          <w:tblHeader/>
        </w:trPr>
        <w:tc>
          <w:tcPr>
            <w:tcW w:type="dxa" w:w="32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Claim</w:t>
            </w:r>
          </w:p>
        </w:tc>
        <w:tc>
          <w:tcPr>
            <w:tcW w:type="dxa" w:w="17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Result</w:t>
            </w:r>
          </w:p>
        </w:tc>
        <w:tc>
          <w:tcPr>
            <w:tcW w:type="dxa" w:w="41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Command</w:t>
            </w:r>
          </w:p>
        </w:tc>
      </w:tr>
      <w:tr>
        <w:tc>
          <w:tcPr>
            <w:tcW w:type="dxa" w:w="3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Automated tests pass</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224 / 224</w:t>
            </w:r>
          </w:p>
        </w:tc>
        <w:tc>
          <w:tcPr>
            <w:tcW w:type="dxa" w:w="4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npm test  (in the server directory)</w:t>
            </w:r>
          </w:p>
        </w:tc>
      </w:tr>
      <w:tr>
        <w:tc>
          <w:tcPr>
            <w:tcW w:type="dxa" w:w="3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All interfaces respond correctly</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45 / 45</w:t>
            </w:r>
          </w:p>
        </w:tc>
        <w:tc>
          <w:tcPr>
            <w:tcW w:type="dxa" w:w="4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bash scripts/smoke.sh</w:t>
            </w:r>
          </w:p>
        </w:tc>
      </w:tr>
      <w:tr>
        <w:tc>
          <w:tcPr>
            <w:tcW w:type="dxa" w:w="3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Schema definitions agree</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Identical</w:t>
            </w:r>
          </w:p>
        </w:tc>
        <w:tc>
          <w:tcPr>
            <w:tcW w:type="dxa" w:w="4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bash scripts/diff-schema.sh</w:t>
            </w:r>
          </w:p>
        </w:tc>
      </w:tr>
      <w:tr>
        <w:tc>
          <w:tcPr>
            <w:tcW w:type="dxa" w:w="3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Database size</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82 columns, 10 tables</w:t>
            </w:r>
          </w:p>
        </w:tc>
        <w:tc>
          <w:tcPr>
            <w:tcW w:type="dxa" w:w="4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bash scripts/diff-schema.sh</w:t>
            </w:r>
          </w:p>
        </w:tc>
      </w:tr>
      <w:tr>
        <w:tc>
          <w:tcPr>
            <w:tcW w:type="dxa" w:w="3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Clean start produces no errors</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0 errors</w:t>
            </w:r>
          </w:p>
        </w:tc>
        <w:tc>
          <w:tcPr>
            <w:tcW w:type="dxa" w:w="4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docker compose down -v &amp;&amp; docker compose up --build</w:t>
            </w:r>
          </w:p>
        </w:tc>
      </w:tr>
      <w:tr>
        <w:tc>
          <w:tcPr>
            <w:tcW w:type="dxa" w:w="3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Bundled images all present</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18 / 18</w:t>
            </w:r>
          </w:p>
        </w:tc>
        <w:tc>
          <w:tcPr>
            <w:tcW w:type="dxa" w:w="4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npm run verify:images</w:t>
            </w:r>
          </w:p>
        </w:tc>
      </w:tr>
      <w:tr>
        <w:tc>
          <w:tcPr>
            <w:tcW w:type="dxa" w:w="32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Code quality gate</w:t>
            </w:r>
          </w:p>
        </w:tc>
        <w:tc>
          <w:tcPr>
            <w:tcW w:type="dxa" w:w="17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No warnings</w:t>
            </w:r>
          </w:p>
        </w:tc>
        <w:tc>
          <w:tcPr>
            <w:tcW w:type="dxa" w:w="41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npm run lint</w:t>
            </w:r>
          </w:p>
        </w:tc>
      </w:tr>
    </w:tbl>
    <w:p>
      <w:pPr>
        <w:spacing w:after="200" w:before="60"/>
      </w:pPr>
      <w:r>
        <w:rPr>
          <w:rFonts w:ascii="Calibri" w:cs="Calibri" w:eastAsia="Calibri" w:hAnsi="Calibri"/>
          <w:i/>
          <w:iCs/>
          <w:color w:val="5A6560"/>
          <w:sz w:val="18"/>
          <w:szCs w:val="18"/>
        </w:rPr>
        <w:t xml:space="preserve">Table A1 — Reproducible verification evidence.</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Appendix B — Database Schema (summary)</w:t>
      </w:r>
    </w:p>
    <w:p>
      <w:pPr>
        <w:spacing w:after="140" w:line="288"/>
        <w:jc w:val="both"/>
      </w:pPr>
      <w:r>
        <w:rPr>
          <w:rFonts w:ascii="Calibri" w:cs="Calibri" w:eastAsia="Calibri" w:hAnsi="Calibri"/>
          <w:color w:val="191C1D"/>
          <w:sz w:val="22"/>
          <w:szCs w:val="22"/>
        </w:rPr>
        <w:t xml:space="preserve">The database comprises ten tables. Operations affecting more than one table are performed within a database transaction, so that a book can never be recorded as simultaneously issued and available.</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2600"/>
        <w:gridCol w:w="6420"/>
      </w:tblGrid>
      <w:tr>
        <w:trPr>
          <w:tblHeader/>
        </w:trPr>
        <w:tc>
          <w:tcPr>
            <w:tcW w:type="dxa" w:w="26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Table</w:t>
            </w:r>
          </w:p>
        </w:tc>
        <w:tc>
          <w:tcPr>
            <w:tcW w:type="dxa" w:w="64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Purpose</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members</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Patrons: identity, membership type, account status, profile picture</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staff</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Library staff and their role (librarian or administrator)</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books</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Catalogue: bibliographic detail, copies held and available, shelf location</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branch_libraries</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The branch libraries and the colleges they serve</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loan_transactions</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Issues and returns, with due date and status</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reservations</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Holds placed by patrons, with expiry</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fine_accounts</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The outstanding balance held by each member</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fine_transactions</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Individual charges, with days overdue and daily rate</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audit_log</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Record of staff actions: who, what, when</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session</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Server-side sign-in sessions</w:t>
            </w:r>
          </w:p>
        </w:tc>
      </w:tr>
    </w:tbl>
    <w:p>
      <w:pPr>
        <w:spacing w:after="200" w:before="60"/>
      </w:pPr>
      <w:r>
        <w:rPr>
          <w:rFonts w:ascii="Calibri" w:cs="Calibri" w:eastAsia="Calibri" w:hAnsi="Calibri"/>
          <w:i/>
          <w:iCs/>
          <w:color w:val="5A6560"/>
          <w:sz w:val="18"/>
          <w:szCs w:val="18"/>
        </w:rPr>
        <w:t xml:space="preserve">Table B1 — Tables and their purpose.</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Appendix C — Interface Inventory</w:t>
      </w:r>
    </w:p>
    <w:p>
      <w:pPr>
        <w:spacing w:after="140" w:line="288"/>
        <w:jc w:val="both"/>
      </w:pPr>
      <w:r>
        <w:rPr>
          <w:rFonts w:ascii="Calibri" w:cs="Calibri" w:eastAsia="Calibri" w:hAnsi="Calibri"/>
          <w:color w:val="191C1D"/>
          <w:sz w:val="22"/>
          <w:szCs w:val="22"/>
        </w:rPr>
        <w:t xml:space="preserve">The system exposes 45 verified interfaces, grouped as follows. All are protected by sign-in and by role except those marked public.</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2600"/>
        <w:gridCol w:w="1400"/>
        <w:gridCol w:w="5020"/>
      </w:tblGrid>
      <w:tr>
        <w:trPr>
          <w:tblHeader/>
        </w:trPr>
        <w:tc>
          <w:tcPr>
            <w:tcW w:type="dxa" w:w="26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Group</w:t>
            </w:r>
          </w:p>
        </w:tc>
        <w:tc>
          <w:tcPr>
            <w:tcW w:type="dxa" w:w="14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Access</w:t>
            </w:r>
          </w:p>
        </w:tc>
        <w:tc>
          <w:tcPr>
            <w:tcW w:type="dxa" w:w="50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Functions provided</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Catalogue</w:t>
            </w:r>
          </w:p>
        </w:tc>
        <w:tc>
          <w:tcPr>
            <w:tcW w:type="dxa" w:w="1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Public</w:t>
            </w:r>
          </w:p>
        </w:tc>
        <w:tc>
          <w:tcPr>
            <w:tcW w:type="dxa" w:w="5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Search, filter, view a title</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Authentication</w:t>
            </w:r>
          </w:p>
        </w:tc>
        <w:tc>
          <w:tcPr>
            <w:tcW w:type="dxa" w:w="1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Public / signed in</w:t>
            </w:r>
          </w:p>
        </w:tc>
        <w:tc>
          <w:tcPr>
            <w:tcW w:type="dxa" w:w="5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Register, sign in and out, verify email, reset password, profile picture</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Patron</w:t>
            </w:r>
          </w:p>
        </w:tc>
        <w:tc>
          <w:tcPr>
            <w:tcW w:type="dxa" w:w="1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Patrons</w:t>
            </w:r>
          </w:p>
        </w:tc>
        <w:tc>
          <w:tcPr>
            <w:tcW w:type="dxa" w:w="5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Dashboard, loans, fines, reservations</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Reservations</w:t>
            </w:r>
          </w:p>
        </w:tc>
        <w:tc>
          <w:tcPr>
            <w:tcW w:type="dxa" w:w="1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Patrons</w:t>
            </w:r>
          </w:p>
        </w:tc>
        <w:tc>
          <w:tcPr>
            <w:tcW w:type="dxa" w:w="5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Place a hold</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Administration</w:t>
            </w:r>
          </w:p>
        </w:tc>
        <w:tc>
          <w:tcPr>
            <w:tcW w:type="dxa" w:w="140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Staff only</w:t>
            </w:r>
          </w:p>
        </w:tc>
        <w:tc>
          <w:tcPr>
            <w:tcW w:type="dxa" w:w="50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Members, catalogue, circulation, fines, reservations, staff, branches, reports, audit log, bulk import and export</w:t>
            </w:r>
          </w:p>
        </w:tc>
      </w:tr>
    </w:tbl>
    <w:p>
      <w:pPr>
        <w:spacing w:after="200" w:before="60"/>
      </w:pPr>
      <w:r>
        <w:rPr>
          <w:rFonts w:ascii="Calibri" w:cs="Calibri" w:eastAsia="Calibri" w:hAnsi="Calibri"/>
          <w:i/>
          <w:iCs/>
          <w:color w:val="5A6560"/>
          <w:sz w:val="18"/>
          <w:szCs w:val="18"/>
        </w:rPr>
        <w:t xml:space="preserve">Table C1 — Interface groups and access control.</w:t>
      </w:r>
    </w:p>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Appendix D — Glossary</w:t>
      </w:r>
    </w:p>
    <w:tbl>
      <w:tblPr>
        <w:tblW w:type="dxa" w:w="9020"/>
        <w:tblBorders>
          <w:top w:val="single" w:color="C9D5CB" w:sz="2"/>
          <w:left w:val="single" w:color="C9D5CB" w:sz="2"/>
          <w:bottom w:val="single" w:color="C9D5CB" w:sz="2"/>
          <w:right w:val="single" w:color="C9D5CB" w:sz="2"/>
          <w:insideH w:val="single" w:color="C9D5CB" w:sz="2"/>
          <w:insideV w:val="single" w:color="C9D5CB" w:sz="2"/>
        </w:tblBorders>
      </w:tblPr>
      <w:tblGrid>
        <w:gridCol w:w="2600"/>
        <w:gridCol w:w="6420"/>
      </w:tblGrid>
      <w:tr>
        <w:trPr>
          <w:tblHeader/>
        </w:trPr>
        <w:tc>
          <w:tcPr>
            <w:tcW w:type="dxa" w:w="260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Term</w:t>
            </w:r>
          </w:p>
        </w:tc>
        <w:tc>
          <w:tcPr>
            <w:tcW w:type="dxa" w:w="6420"/>
            <w:shd w:fill="F1F5F2" w:color="auto" w:val="clear"/>
            <w:tcMar>
              <w:top w:type="dxa" w:w="85"/>
              <w:left w:type="dxa" w:w="120"/>
              <w:bottom w:type="dxa" w:w="85"/>
              <w:right w:type="dxa" w:w="120"/>
            </w:tcMar>
            <w:vAlign w:val="top"/>
          </w:tcPr>
          <w:p>
            <w:pPr>
              <w:spacing w:after="0" w:line="260"/>
            </w:pPr>
            <w:r>
              <w:rPr>
                <w:rFonts w:ascii="Calibri" w:cs="Calibri" w:eastAsia="Calibri" w:hAnsi="Calibri"/>
                <w:b/>
                <w:bCs/>
                <w:color w:val="00652C"/>
                <w:sz w:val="19"/>
                <w:szCs w:val="19"/>
              </w:rPr>
              <w:t xml:space="preserve">Meaning</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Circulation</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The issuing, renewal and return of library material</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Patron</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 member of the library: student, postgraduate or faculty</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Hold / reservation</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 request reserving a title for a patron for a limited period</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Overdue</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 loan not returned by its due date</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Audit log</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A record of actions taken by staff, kept for accountability</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Feasibility</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Whether a proposal is workable technically, economically and operationally</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Parallel running</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Operating a new system alongside the old one to compare results before switching</w:t>
            </w:r>
          </w:p>
        </w:tc>
      </w:tr>
      <w:tr>
        <w:tc>
          <w:tcPr>
            <w:tcW w:type="dxa" w:w="2600"/>
            <w:tcMar>
              <w:top w:type="dxa" w:w="85"/>
              <w:left w:type="dxa" w:w="120"/>
              <w:bottom w:type="dxa" w:w="85"/>
              <w:right w:type="dxa" w:w="120"/>
            </w:tcMar>
            <w:vAlign w:val="top"/>
          </w:tcPr>
          <w:p>
            <w:pPr>
              <w:spacing w:after="0" w:line="260"/>
            </w:pPr>
            <w:r>
              <w:rPr>
                <w:rFonts w:ascii="Calibri" w:cs="Calibri" w:eastAsia="Calibri" w:hAnsi="Calibri"/>
                <w:b/>
                <w:bCs/>
                <w:color w:val="191C1D"/>
                <w:sz w:val="19"/>
                <w:szCs w:val="19"/>
              </w:rPr>
              <w:t xml:space="preserve">Bulk import</w:t>
            </w:r>
          </w:p>
        </w:tc>
        <w:tc>
          <w:tcPr>
            <w:tcW w:type="dxa" w:w="6420"/>
            <w:tcMar>
              <w:top w:type="dxa" w:w="85"/>
              <w:left w:type="dxa" w:w="120"/>
              <w:bottom w:type="dxa" w:w="85"/>
              <w:right w:type="dxa" w:w="120"/>
            </w:tcMar>
            <w:vAlign w:val="top"/>
          </w:tcPr>
          <w:p>
            <w:pPr>
              <w:spacing w:after="0" w:line="260"/>
            </w:pPr>
            <w:r>
              <w:rPr>
                <w:rFonts w:ascii="Calibri" w:cs="Calibri" w:eastAsia="Calibri" w:hAnsi="Calibri"/>
                <w:b w:val="false"/>
                <w:bCs w:val="false"/>
                <w:color w:val="191C1D"/>
                <w:sz w:val="19"/>
                <w:szCs w:val="19"/>
              </w:rPr>
              <w:t xml:space="preserve">Loading many catalogue or membership records at once from a file</w:t>
            </w:r>
          </w:p>
        </w:tc>
      </w:tr>
    </w:tbl>
    <w:p>
      <w:r>
        <w:br w:type="page"/>
      </w:r>
    </w:p>
    <w:p>
      <w:pPr>
        <w:pStyle w:val="Heading1"/>
        <w:pBdr>
          <w:bottom w:val="single" w:color="00652C" w:sz="10" w:space="8"/>
        </w:pBdr>
        <w:spacing w:after="180" w:before="200"/>
      </w:pPr>
      <w:r>
        <w:rPr>
          <w:rFonts w:ascii="Calibri" w:cs="Calibri" w:eastAsia="Calibri" w:hAnsi="Calibri"/>
          <w:b/>
          <w:bCs/>
          <w:color w:val="00652C"/>
          <w:sz w:val="30"/>
          <w:szCs w:val="30"/>
        </w:rPr>
        <w:t xml:space="preserve">Appendix E — Data Collection Instruments</w:t>
      </w:r>
    </w:p>
    <w:p>
      <w:pPr>
        <w:pBdr>
          <w:left w:val="single" w:color="92400E" w:sz="14" w:space="10"/>
        </w:pBdr>
        <w:spacing w:after="180" w:before="120"/>
        <w:ind w:left="220" w:right="220"/>
      </w:pPr>
      <w:r>
        <w:rPr>
          <w:rFonts w:ascii="Calibri" w:cs="Calibri" w:eastAsia="Calibri" w:hAnsi="Calibri"/>
          <w:i/>
          <w:iCs/>
          <w:color w:val="191C1D"/>
          <w:sz w:val="20"/>
          <w:szCs w:val="20"/>
        </w:rPr>
        <w:t xml:space="preserve">Insert here any interview schedules, questionnaires or observation notes your team used in the investigation stage, together with a summary of the responses obtained. If no fieldwork was conducted, remove this appendix and the corresponding row in Table 2 rather than leaving it blank.</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560"/>
        <w:sz w:val="16"/>
        <w:szCs w:val="16"/>
      </w:rPr>
      <w:t xml:space="preserve">Page </w:t>
    </w:r>
    <w:r>
      <w:rPr>
        <w:rFonts w:ascii="Calibri" w:cs="Calibri" w:eastAsia="Calibri" w:hAnsi="Calibri"/>
        <w:color w:val="5A6560"/>
        <w:sz w:val="16"/>
        <w:szCs w:val="16"/>
      </w:rPr>
      <w:fldChar w:fldCharType="begin"/>
      <w:instrText xml:space="preserve">PAGE</w:instrText>
      <w:fldChar w:fldCharType="separate"/>
      <w:fldChar w:fldCharType="end"/>
    </w:r>
    <w:r>
      <w:rPr>
        <w:rFonts w:ascii="Calibri" w:cs="Calibri" w:eastAsia="Calibri" w:hAnsi="Calibri"/>
        <w:color w:val="5A6560"/>
        <w:sz w:val="16"/>
        <w:szCs w:val="16"/>
      </w:rPr>
      <w:t xml:space="preserve"> of </w:t>
    </w:r>
    <w:r>
      <w:rPr>
        <w:rFonts w:ascii="Calibri" w:cs="Calibri" w:eastAsia="Calibri" w:hAnsi="Calibri"/>
        <w:color w:val="5A656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5CB" w:sz="4" w:space="6"/>
      </w:pBdr>
      <w:spacing w:after="60"/>
      <w:jc w:val="right"/>
    </w:pPr>
    <w:r>
      <w:rPr>
        <w:rFonts w:ascii="Calibri" w:cs="Calibri" w:eastAsia="Calibri" w:hAnsi="Calibri"/>
        <w:color w:val="5A6560"/>
        <w:sz w:val="16"/>
        <w:szCs w:val="16"/>
      </w:rPr>
      <w:t xml:space="preserve">Systems Proposal  ·  Tameion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Proposal — Tameion</dc:title>
  <dc:creator>Tameion Project Team</dc:creator>
  <dc:description>Systems proposal following Kendall &amp; Kendall (9e) format</dc:description>
  <cp:lastModifiedBy>Un-named</cp:lastModifiedBy>
  <cp:revision>1</cp:revision>
  <dcterms:created xsi:type="dcterms:W3CDTF">2026-08-12T13:38:07.841Z</dcterms:created>
  <dcterms:modified xsi:type="dcterms:W3CDTF">2026-08-12T13:38:07.856Z</dcterms:modified>
</cp:coreProperties>
</file>

<file path=docProps/custom.xml><?xml version="1.0" encoding="utf-8"?>
<Properties xmlns="http://schemas.openxmlformats.org/officeDocument/2006/custom-properties" xmlns:vt="http://schemas.openxmlformats.org/officeDocument/2006/docPropsVTypes"/>
</file>