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jc w:val="left"/>
        <w:rPr>
          <w:sz w:val="46"/>
          <w:szCs w:val="46"/>
        </w:rPr>
      </w:pPr>
      <w:bookmarkStart w:colFirst="0" w:colLast="0" w:name="_77qbngdcgweb" w:id="0"/>
      <w:bookmarkEnd w:id="0"/>
      <w:r w:rsidDel="00000000" w:rsidR="00000000" w:rsidRPr="00000000">
        <w:rPr>
          <w:sz w:val="46"/>
          <w:szCs w:val="46"/>
          <w:rtl w:val="0"/>
        </w:rPr>
        <w:t xml:space="preserve">Encoded Injustice: Competing Definitions of Fairness and the Regulatory Vacuum in Algorithmic Sentencing</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Saif Elsaady</w:t>
        <w:br w:type="textWrapping"/>
      </w:r>
      <w:r w:rsidDel="00000000" w:rsidR="00000000" w:rsidRPr="00000000">
        <w:rPr>
          <w:rtl w:val="0"/>
        </w:rPr>
        <w:t xml:space="preserve"> </w:t>
      </w:r>
      <w:r w:rsidDel="00000000" w:rsidR="00000000" w:rsidRPr="00000000">
        <w:rPr>
          <w:b w:val="1"/>
          <w:bCs w:val="1"/>
          <w:rtl w:val="0"/>
        </w:rPr>
        <w:t xml:space="preserve">BIO 511: Big Data</w:t>
      </w:r>
    </w:p>
    <w:p w:rsidR="00000000" w:rsidDel="00000000" w:rsidP="00000000" w:rsidRDefault="00000000" w:rsidRPr="00000000" w14:paraId="00000003">
      <w:pPr>
        <w:pStyle w:val="Heading2"/>
        <w:keepNext w:val="0"/>
        <w:keepLines w:val="0"/>
        <w:spacing w:after="80" w:before="360" w:lineRule="auto"/>
        <w:rPr>
          <w:sz w:val="34"/>
          <w:szCs w:val="34"/>
        </w:rPr>
      </w:pPr>
      <w:bookmarkStart w:colFirst="0" w:colLast="0" w:name="_v18tkkeykigb" w:id="1"/>
      <w:bookmarkEnd w:id="1"/>
      <w:r w:rsidDel="00000000" w:rsidR="00000000" w:rsidRPr="00000000">
        <w:rPr>
          <w:sz w:val="34"/>
          <w:szCs w:val="34"/>
          <w:rtl w:val="0"/>
        </w:rPr>
        <w:t xml:space="preserve">I.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American criminal justice system stands at a technological crossroads. Where judges once exercised discretion informed by experience and precedent, many now turn to algorithmic risk assessment tools that promise objective, evidence-based predictions. COMPAS (Correctional Offender Management Profiling for Alternative Sanctions) has become the paradigmatic case of this transformation, a proprietary algorithm that influences sentencing decisions while remaining opaque to the defendants it evaluates.</w:t>
      </w:r>
    </w:p>
    <w:p w:rsidR="00000000" w:rsidDel="00000000" w:rsidP="00000000" w:rsidRDefault="00000000" w:rsidRPr="00000000" w14:paraId="00000005">
      <w:pPr>
        <w:spacing w:after="240" w:before="240" w:lineRule="auto"/>
        <w:rPr/>
      </w:pPr>
      <w:r w:rsidDel="00000000" w:rsidR="00000000" w:rsidRPr="00000000">
        <w:rPr>
          <w:rtl w:val="0"/>
        </w:rPr>
        <w:t xml:space="preserve">The controversy erupted in 2016, when ProPublica published an investigation revealing stark racial disparities in COMPAS error rates. Black defendants were nearly twice as likely as white defendants to be incorrectly labeled high-risk, while white defendants were more often incorrectly labeled low-risk (Angwin et al., 2016). That same year, the Wisconsin Supreme Court ruled in </w:t>
      </w:r>
      <w:r w:rsidDel="00000000" w:rsidR="00000000" w:rsidRPr="00000000">
        <w:rPr>
          <w:i w:val="1"/>
          <w:iCs w:val="1"/>
          <w:rtl w:val="0"/>
        </w:rPr>
        <w:t xml:space="preserve">State v. Loomis</w:t>
      </w:r>
      <w:r w:rsidDel="00000000" w:rsidR="00000000" w:rsidRPr="00000000">
        <w:rPr>
          <w:rtl w:val="0"/>
        </w:rPr>
        <w:t xml:space="preserve"> that using COMPAS at sentencing did not violate due process, even as the defendant remained unable to inspect the proprietary model (881 N.W.2d 749, 2016).</w:t>
      </w:r>
    </w:p>
    <w:p w:rsidR="00000000" w:rsidDel="00000000" w:rsidP="00000000" w:rsidRDefault="00000000" w:rsidRPr="00000000" w14:paraId="00000006">
      <w:pPr>
        <w:spacing w:after="240" w:before="240" w:lineRule="auto"/>
        <w:rPr/>
      </w:pPr>
      <w:r w:rsidDel="00000000" w:rsidR="00000000" w:rsidRPr="00000000">
        <w:rPr>
          <w:rtl w:val="0"/>
        </w:rPr>
        <w:t xml:space="preserve">This paper argues that the COMPAS controversy reveals a fundamental incompatibility between commercial definitions of accuracy and social conceptions of justice. By "fundamental," I mean an incompatibility rooted in the mathematical structure of algorithmic fairness itself, not merely a technical problem awaiting better design. As Section III demonstrates, when base rates of recidivism differ between racial groups due to historical discrimination, no algorithm can simultaneously satisfy both calibration (the metric Northpointe prioritizes for commercial viability) and error-rate parity (the metric ProPublica emphasizes for civil rights) without perfect prediction. This mathematical impossibility means that optimizing for one conception of fairness necessarily sacrifices another. The choice between them cannot be resolved through statistical refinement; it requires normative judgment about whose interests matter and whether algorithms should reproduce existing disparities or challenge them. In the absence of federal standards, trade secret law has effectively privatized criminal justice, allowing proprietary interests to supersede due process protections while shielding these unavoidable normative choices from public scrutiny and democratic deliberation.</w:t>
      </w:r>
    </w:p>
    <w:p w:rsidR="00000000" w:rsidDel="00000000" w:rsidP="00000000" w:rsidRDefault="00000000" w:rsidRPr="00000000" w14:paraId="00000007">
      <w:pPr>
        <w:pStyle w:val="Heading2"/>
        <w:keepNext w:val="0"/>
        <w:keepLines w:val="0"/>
        <w:spacing w:after="80" w:before="360" w:lineRule="auto"/>
        <w:rPr>
          <w:sz w:val="34"/>
          <w:szCs w:val="34"/>
        </w:rPr>
      </w:pPr>
      <w:bookmarkStart w:colFirst="0" w:colLast="0" w:name="_3z20t36laxuv" w:id="2"/>
      <w:bookmarkEnd w:id="2"/>
      <w:r w:rsidDel="00000000" w:rsidR="00000000" w:rsidRPr="00000000">
        <w:rPr>
          <w:sz w:val="34"/>
          <w:szCs w:val="34"/>
          <w:rtl w:val="0"/>
        </w:rPr>
        <w:t xml:space="preserve">II. The Mechanism of Assessment: From Data to Decision</w:t>
      </w:r>
    </w:p>
    <w:p w:rsidR="00000000" w:rsidDel="00000000" w:rsidP="00000000" w:rsidRDefault="00000000" w:rsidRPr="00000000" w14:paraId="00000008">
      <w:pPr>
        <w:spacing w:after="240" w:before="240" w:lineRule="auto"/>
        <w:rPr/>
      </w:pPr>
      <w:r w:rsidDel="00000000" w:rsidR="00000000" w:rsidRPr="00000000">
        <w:rPr>
          <w:rtl w:val="0"/>
        </w:rPr>
        <w:t xml:space="preserve">COMPAS operates through a 137-question survey administered by probation officers, generating risk scores on a scale of one to ten (Rudin et al., 2018). The survey collects information ranging from criminal history and substance abuse to attitudes and peer associations. Probation officers must translate complex human lives into standardized data categories, introducing discretion even before the algorithm runs.</w:t>
      </w:r>
    </w:p>
    <w:p w:rsidR="00000000" w:rsidDel="00000000" w:rsidP="00000000" w:rsidRDefault="00000000" w:rsidRPr="00000000" w14:paraId="00000009">
      <w:pPr>
        <w:spacing w:after="240" w:before="240" w:lineRule="auto"/>
        <w:rPr/>
      </w:pPr>
      <w:r w:rsidDel="00000000" w:rsidR="00000000" w:rsidRPr="00000000">
        <w:rPr>
          <w:rtl w:val="0"/>
        </w:rPr>
        <w:t xml:space="preserve">Wisconsin's adoption of COMPAS was driven by converging incentives. State legislatures mandated "evidence-based" sentencing to address mass incarceration. For judges, risk assessment tools offered liability reduction and efficiency. The rhetorical power of "data-driven" decision-making lent these tools scientific legitimacy, even as their internal workings remained opaque.</w:t>
      </w:r>
    </w:p>
    <w:p w:rsidR="00000000" w:rsidDel="00000000" w:rsidP="00000000" w:rsidRDefault="00000000" w:rsidRPr="00000000" w14:paraId="0000000A">
      <w:pPr>
        <w:spacing w:after="240" w:before="240" w:lineRule="auto"/>
        <w:rPr/>
      </w:pPr>
      <w:r w:rsidDel="00000000" w:rsidR="00000000" w:rsidRPr="00000000">
        <w:rPr>
          <w:rtl w:val="0"/>
        </w:rPr>
        <w:t xml:space="preserve">The Wisconsin Supreme Court's ruling in </w:t>
      </w:r>
      <w:r w:rsidDel="00000000" w:rsidR="00000000" w:rsidRPr="00000000">
        <w:rPr>
          <w:i w:val="1"/>
          <w:iCs w:val="1"/>
          <w:rtl w:val="0"/>
        </w:rPr>
        <w:t xml:space="preserve">State v. Loomis</w:t>
      </w:r>
      <w:r w:rsidDel="00000000" w:rsidR="00000000" w:rsidRPr="00000000">
        <w:rPr>
          <w:rtl w:val="0"/>
        </w:rPr>
        <w:t xml:space="preserve"> established that judges could "consider" COMPAS scores but could not "rely on" them as determinative. The court required judges to acknowledge COMPAS limitations, including that scores reflect group-level patterns rather than individual predictions, that the tool has not been validated specifically for sentencing, and that proprietary protection prevents full examination (State v. Loomis, 881 N.W.2d 749, 2016).</w:t>
      </w:r>
    </w:p>
    <w:p w:rsidR="00000000" w:rsidDel="00000000" w:rsidP="00000000" w:rsidRDefault="00000000" w:rsidRPr="00000000" w14:paraId="0000000B">
      <w:pPr>
        <w:spacing w:after="240" w:before="240" w:lineRule="auto"/>
        <w:rPr/>
      </w:pPr>
      <w:r w:rsidDel="00000000" w:rsidR="00000000" w:rsidRPr="00000000">
        <w:rPr>
          <w:rtl w:val="0"/>
        </w:rPr>
        <w:t xml:space="preserve">These judicial "warning labels" functioned as a regulatory patch, attempting to mitigate opacity through procedural requirements rather than substantive disclosure (Kirchner &amp; Larson, 2016). </w:t>
      </w:r>
      <w:r w:rsidDel="00000000" w:rsidR="00000000" w:rsidRPr="00000000">
        <w:rPr>
          <w:i w:val="1"/>
          <w:iCs w:val="1"/>
          <w:rtl w:val="0"/>
        </w:rPr>
        <w:t xml:space="preserve">Loomis</w:t>
      </w:r>
      <w:r w:rsidDel="00000000" w:rsidR="00000000" w:rsidRPr="00000000">
        <w:rPr>
          <w:rtl w:val="0"/>
        </w:rPr>
        <w:t xml:space="preserve"> established that trade secret protection could immunize sentencing algorithms from scrutiny, as long as judges verbally acknowledged the tool's limitations. Due process was satisfied by warning that the black box remained closed.</w:t>
      </w:r>
    </w:p>
    <w:p w:rsidR="00000000" w:rsidDel="00000000" w:rsidP="00000000" w:rsidRDefault="00000000" w:rsidRPr="00000000" w14:paraId="0000000C">
      <w:pPr>
        <w:pStyle w:val="Heading2"/>
        <w:keepNext w:val="0"/>
        <w:keepLines w:val="0"/>
        <w:spacing w:after="80" w:before="360" w:lineRule="auto"/>
        <w:rPr>
          <w:sz w:val="34"/>
          <w:szCs w:val="34"/>
        </w:rPr>
      </w:pPr>
      <w:bookmarkStart w:colFirst="0" w:colLast="0" w:name="_7r9xpbl326c" w:id="3"/>
      <w:bookmarkEnd w:id="3"/>
      <w:r w:rsidDel="00000000" w:rsidR="00000000" w:rsidRPr="00000000">
        <w:rPr>
          <w:sz w:val="34"/>
          <w:szCs w:val="34"/>
          <w:rtl w:val="0"/>
        </w:rPr>
        <w:t xml:space="preserve">III. The "Impossibility of Fairness": Analyzing the Metrics</w:t>
      </w:r>
    </w:p>
    <w:p w:rsidR="00000000" w:rsidDel="00000000" w:rsidP="00000000" w:rsidRDefault="00000000" w:rsidRPr="00000000" w14:paraId="0000000D">
      <w:pPr>
        <w:spacing w:after="240" w:before="240" w:lineRule="auto"/>
        <w:rPr/>
      </w:pPr>
      <w:r w:rsidDel="00000000" w:rsidR="00000000" w:rsidRPr="00000000">
        <w:rPr>
          <w:rtl w:val="0"/>
        </w:rPr>
        <w:t xml:space="preserve">The public controversy crystallized around a technical question with profound normative implications: what does it mean for a risk assessment algorithm to be "fair"?</w:t>
      </w:r>
    </w:p>
    <w:p w:rsidR="00000000" w:rsidDel="00000000" w:rsidP="00000000" w:rsidRDefault="00000000" w:rsidRPr="00000000" w14:paraId="0000000E">
      <w:pPr>
        <w:spacing w:after="240" w:before="240" w:lineRule="auto"/>
        <w:rPr/>
      </w:pPr>
      <w:r w:rsidDel="00000000" w:rsidR="00000000" w:rsidRPr="00000000">
        <w:rPr>
          <w:rtl w:val="0"/>
        </w:rPr>
        <w:t xml:space="preserve">Northpointe's defense emphasized predictive accuracy and calibration. COMPAS was fair because defendants of different races who received the same risk score had similar actual recidivism rates. This calibration metric ensures that a score of 7 means the same thing for all defendants. Northpointe argued this property was essential for commercial viability, as judges needed to interpret risk scores consistently across cases.</w:t>
      </w:r>
    </w:p>
    <w:p w:rsidR="00000000" w:rsidDel="00000000" w:rsidP="00000000" w:rsidRDefault="00000000" w:rsidRPr="00000000" w14:paraId="0000000F">
      <w:pPr>
        <w:spacing w:after="240" w:before="240" w:lineRule="auto"/>
        <w:rPr/>
      </w:pPr>
      <w:r w:rsidDel="00000000" w:rsidR="00000000" w:rsidRPr="00000000">
        <w:rPr>
          <w:rtl w:val="0"/>
        </w:rPr>
        <w:t xml:space="preserve">ProPublica's investigation highlighted error rate parity. Their analysis of over 7,000 defendants in Broward County revealed that Black defendants who did not reoffend were nearly twice as likely as white defendants to be incorrectly labeled high-risk (false positives), while white defendants who reoffended were more likely to have been incorrectly labeled low-risk (false negatives) (Angwin et al., 2016). These disparities have direct consequences: false positives can lead to harsher sentences, while false negatives result in inappropriately lenient ones.</w:t>
      </w:r>
    </w:p>
    <w:p w:rsidR="00000000" w:rsidDel="00000000" w:rsidP="00000000" w:rsidRDefault="00000000" w:rsidRPr="00000000" w14:paraId="00000010">
      <w:pPr>
        <w:spacing w:after="240" w:before="240" w:lineRule="auto"/>
        <w:rPr/>
      </w:pPr>
      <w:r w:rsidDel="00000000" w:rsidR="00000000" w:rsidRPr="00000000">
        <w:rPr>
          <w:rtl w:val="0"/>
        </w:rPr>
        <w:t xml:space="preserve">The theoretical literature reveals that this conflict reflects a mathematical impossibility. When base rates of recidivism differ between groups, a risk assessment tool cannot simultaneously satisfy calibration and error-rate parity unless it achieves perfect prediction (Castelnovo et al., 2025). This impossibility result demonstrates that multiple fairness criteria cannot all be met when groups face different underlying risks. The choice between calibration and error-rate parity is therefore a normative decision about whose interests algorithmic systems should prioritize.</w:t>
      </w:r>
    </w:p>
    <w:p w:rsidR="00000000" w:rsidDel="00000000" w:rsidP="00000000" w:rsidRDefault="00000000" w:rsidRPr="00000000" w14:paraId="00000011">
      <w:pPr>
        <w:spacing w:after="240" w:before="240" w:lineRule="auto"/>
        <w:rPr/>
      </w:pPr>
      <w:r w:rsidDel="00000000" w:rsidR="00000000" w:rsidRPr="00000000">
        <w:rPr>
          <w:rtl w:val="0"/>
        </w:rPr>
        <w:t xml:space="preserve">Ruha Benjamin's work illuminates why this trade-off cannot be resolved through statistics alone. Benjamin develops the concept of the "New Jim Code" to describe how seemingly neutral technologies reproduce racial hierarchies under the guise of objectivity (Benjamin, 2019). COMPAS exemplifies how recidivism tools encode past discrimination into present assessments. The validation data reflects decades of racialized policing: Black communities have faced more intensive surveillance, higher arrest rates for equivalent behavior, and harsher sentencing. When an algorithm is trained on this data, "accuracy" means successfully mirroring existing inequality.</w:t>
      </w:r>
    </w:p>
    <w:p w:rsidR="00000000" w:rsidDel="00000000" w:rsidP="00000000" w:rsidRDefault="00000000" w:rsidRPr="00000000" w14:paraId="00000012">
      <w:pPr>
        <w:spacing w:after="240" w:before="240" w:lineRule="auto"/>
        <w:rPr/>
      </w:pPr>
      <w:r w:rsidDel="00000000" w:rsidR="00000000" w:rsidRPr="00000000">
        <w:rPr>
          <w:rtl w:val="0"/>
        </w:rPr>
        <w:t xml:space="preserve">Prioritizing calibration means accepting that the algorithm should reproduce disparate base rates observed in training data, treating historical discrimination as a neutral fact to be predicted. The tool becomes what Benjamin calls a mechanism for "laundering inequality as rational risk management." No statistical adjustment can make an algorithm fair if fairness requires challenging the systematic over-policing that creates disparate base rates.</w:t>
      </w:r>
    </w:p>
    <w:p w:rsidR="00000000" w:rsidDel="00000000" w:rsidP="00000000" w:rsidRDefault="00000000" w:rsidRPr="00000000" w14:paraId="00000013">
      <w:pPr>
        <w:pStyle w:val="Heading2"/>
        <w:keepNext w:val="0"/>
        <w:keepLines w:val="0"/>
        <w:spacing w:after="80" w:before="360" w:lineRule="auto"/>
        <w:rPr>
          <w:sz w:val="34"/>
          <w:szCs w:val="34"/>
        </w:rPr>
      </w:pPr>
      <w:bookmarkStart w:colFirst="0" w:colLast="0" w:name="_q404i9g9am94" w:id="4"/>
      <w:bookmarkEnd w:id="4"/>
      <w:r w:rsidDel="00000000" w:rsidR="00000000" w:rsidRPr="00000000">
        <w:rPr>
          <w:sz w:val="34"/>
          <w:szCs w:val="34"/>
          <w:rtl w:val="0"/>
        </w:rPr>
        <w:t xml:space="preserve">IV. The Regulatory Ecosystem: Trade Secrets as Law</w:t>
      </w:r>
    </w:p>
    <w:p w:rsidR="00000000" w:rsidDel="00000000" w:rsidP="00000000" w:rsidRDefault="00000000" w:rsidRPr="00000000" w14:paraId="00000014">
      <w:pPr>
        <w:spacing w:after="240" w:before="240" w:lineRule="auto"/>
        <w:rPr/>
      </w:pPr>
      <w:r w:rsidDel="00000000" w:rsidR="00000000" w:rsidRPr="00000000">
        <w:rPr>
          <w:rtl w:val="0"/>
        </w:rPr>
        <w:t xml:space="preserve">The COMPAS controversy unfolded in a regulatory vacuum. At the time of adoption, no federal standards governed risk assessment algorithms in criminal justice. State legislatures mandated "evidence-based" sentencing without specifying what technical standards these tools must meet. Into this vacuum, intellectual property law stepped in as the de facto regulatory regime.</w:t>
      </w:r>
    </w:p>
    <w:p w:rsidR="00000000" w:rsidDel="00000000" w:rsidP="00000000" w:rsidRDefault="00000000" w:rsidRPr="00000000" w14:paraId="00000015">
      <w:pPr>
        <w:spacing w:after="240" w:before="240" w:lineRule="auto"/>
        <w:rPr/>
      </w:pPr>
      <w:r w:rsidDel="00000000" w:rsidR="00000000" w:rsidRPr="00000000">
        <w:rPr>
          <w:rtl w:val="0"/>
        </w:rPr>
        <w:t xml:space="preserve">Trade secret law allowed Northpointe to shield COMPAS's internal logic from examination by defendants, judges, researchers, and the public. While the company disclosed general information, the specific weights assigned to variables and decision rules remained proprietary. This opacity was legally protected: Northpointe could argue that disclosure would harm its competitive position. The result was a privatization of judicial decision-making.</w:t>
      </w:r>
    </w:p>
    <w:p w:rsidR="00000000" w:rsidDel="00000000" w:rsidP="00000000" w:rsidRDefault="00000000" w:rsidRPr="00000000" w14:paraId="00000016">
      <w:pPr>
        <w:spacing w:after="240" w:before="240" w:lineRule="auto"/>
        <w:rPr/>
      </w:pPr>
      <w:r w:rsidDel="00000000" w:rsidR="00000000" w:rsidRPr="00000000">
        <w:rPr>
          <w:rtl w:val="0"/>
        </w:rPr>
        <w:t xml:space="preserve">This arrangement created profound information asymmetries. Northpointe, as the data owner and algorithm developer, dictated the terms under which its tool could be inspected. The company could refuse meaningful independent validation, citing intellectual property protections. Unlike biobanking contexts, where data ownership involves negotiation within transparency norms, the COMPAS regime recognized no such norms (Lunshof et al., 2008).</w:t>
      </w:r>
    </w:p>
    <w:p w:rsidR="00000000" w:rsidDel="00000000" w:rsidP="00000000" w:rsidRDefault="00000000" w:rsidRPr="00000000" w14:paraId="00000017">
      <w:pPr>
        <w:spacing w:after="240" w:before="240" w:lineRule="auto"/>
        <w:rPr/>
      </w:pPr>
      <w:r w:rsidDel="00000000" w:rsidR="00000000" w:rsidRPr="00000000">
        <w:rPr>
          <w:rtl w:val="0"/>
        </w:rPr>
        <w:t xml:space="preserve">The comparison to biobanking illuminates the coercive nature of algorithmic sentencing. In open consent biobanking, participants are volunteers who receive detailed information and retain agency to withdraw. Defendants subjected to COMPAS have no ability to opt out, receive no detailed explanation, cannot inspect the model, and have no control over how their information contributes to the algorithm's refinement.</w:t>
      </w:r>
    </w:p>
    <w:p w:rsidR="00000000" w:rsidDel="00000000" w:rsidP="00000000" w:rsidRDefault="00000000" w:rsidRPr="00000000" w14:paraId="00000018">
      <w:pPr>
        <w:spacing w:after="240" w:before="240" w:lineRule="auto"/>
        <w:rPr/>
      </w:pPr>
      <w:r w:rsidDel="00000000" w:rsidR="00000000" w:rsidRPr="00000000">
        <w:rPr>
          <w:rtl w:val="0"/>
        </w:rPr>
        <w:t xml:space="preserve">Recent scholarship has revealed that trade secrecy prevents even basic understanding of how COMPAS functions. Researchers found that the tool's dependence on age does not match the functional form described in vendor documentation, suggesting that secrecy allows mistaken assumptions to persist (Rudin et al., 2018). When the system influencing liberty interests cannot be examined, neither judges nor defendants can assess whether vendor claims are accurate.</w:t>
      </w:r>
    </w:p>
    <w:p w:rsidR="00000000" w:rsidDel="00000000" w:rsidP="00000000" w:rsidRDefault="00000000" w:rsidRPr="00000000" w14:paraId="00000019">
      <w:pPr>
        <w:pStyle w:val="Heading2"/>
        <w:keepNext w:val="0"/>
        <w:keepLines w:val="0"/>
        <w:spacing w:after="80" w:before="360" w:lineRule="auto"/>
        <w:rPr>
          <w:sz w:val="34"/>
          <w:szCs w:val="34"/>
        </w:rPr>
      </w:pPr>
      <w:bookmarkStart w:colFirst="0" w:colLast="0" w:name="_1qktyt0xafu" w:id="5"/>
      <w:bookmarkEnd w:id="5"/>
      <w:r w:rsidDel="00000000" w:rsidR="00000000" w:rsidRPr="00000000">
        <w:rPr>
          <w:sz w:val="34"/>
          <w:szCs w:val="34"/>
          <w:rtl w:val="0"/>
        </w:rPr>
        <w:t xml:space="preserve">V. Actors and Resistance: Shifting the Norms</w:t>
      </w:r>
    </w:p>
    <w:p w:rsidR="00000000" w:rsidDel="00000000" w:rsidP="00000000" w:rsidRDefault="00000000" w:rsidRPr="00000000" w14:paraId="0000001A">
      <w:pPr>
        <w:spacing w:after="240" w:before="240" w:lineRule="auto"/>
        <w:rPr/>
      </w:pPr>
      <w:r w:rsidDel="00000000" w:rsidR="00000000" w:rsidRPr="00000000">
        <w:rPr>
          <w:rtl w:val="0"/>
        </w:rPr>
        <w:t xml:space="preserve">The regulatory vacuum meant that traditional oversight mechanisms largely failed. Alternative actors emerged to challenge COMPAS and shift norms around algorithmic accountability.</w:t>
      </w:r>
    </w:p>
    <w:p w:rsidR="00000000" w:rsidDel="00000000" w:rsidP="00000000" w:rsidRDefault="00000000" w:rsidRPr="00000000" w14:paraId="0000001B">
      <w:pPr>
        <w:spacing w:after="240" w:before="240" w:lineRule="auto"/>
        <w:rPr/>
      </w:pPr>
      <w:r w:rsidDel="00000000" w:rsidR="00000000" w:rsidRPr="00000000">
        <w:rPr>
          <w:rtl w:val="0"/>
        </w:rPr>
        <w:t xml:space="preserve">ProPublica's investigative journalism functioned as informal regulation. By obtaining and analyzing COMPAS scores and outcomes for thousands of defendants, ProPublica performed independent validation that neither courts nor regulators had required. Crucially, the outlet released its cleaned dataset publicly, enabling outside researchers to conduct their own analyses (Angwin et al., 2016). This move broke Northpointe's information monopoly, importing open science norms into a domain otherwise governed by proprietary claims.</w:t>
      </w:r>
    </w:p>
    <w:p w:rsidR="00000000" w:rsidDel="00000000" w:rsidP="00000000" w:rsidRDefault="00000000" w:rsidRPr="00000000" w14:paraId="0000001C">
      <w:pPr>
        <w:spacing w:after="240" w:before="240" w:lineRule="auto"/>
        <w:rPr/>
      </w:pPr>
      <w:r w:rsidDel="00000000" w:rsidR="00000000" w:rsidRPr="00000000">
        <w:rPr>
          <w:rtl w:val="0"/>
        </w:rPr>
        <w:t xml:space="preserve">The defense bar mounted due process challenges that, while largely unsuccessful, forced procedural accommodations. Although </w:t>
      </w:r>
      <w:r w:rsidDel="00000000" w:rsidR="00000000" w:rsidRPr="00000000">
        <w:rPr>
          <w:i w:val="1"/>
          <w:iCs w:val="1"/>
          <w:rtl w:val="0"/>
        </w:rPr>
        <w:t xml:space="preserve">Loomis</w:t>
      </w:r>
      <w:r w:rsidDel="00000000" w:rsidR="00000000" w:rsidRPr="00000000">
        <w:rPr>
          <w:rtl w:val="0"/>
        </w:rPr>
        <w:t xml:space="preserve"> upheld COMPAS use, the decision imposed limitations through warning requirements. Some jurisdictions have gone further, banning black-box tools or requiring vendors to disclose algorithmic details as a condition of use.</w:t>
      </w:r>
    </w:p>
    <w:p w:rsidR="00000000" w:rsidDel="00000000" w:rsidP="00000000" w:rsidRDefault="00000000" w:rsidRPr="00000000" w14:paraId="0000001D">
      <w:pPr>
        <w:spacing w:after="240" w:before="240" w:lineRule="auto"/>
        <w:rPr/>
      </w:pPr>
      <w:r w:rsidDel="00000000" w:rsidR="00000000" w:rsidRPr="00000000">
        <w:rPr>
          <w:rtl w:val="0"/>
        </w:rPr>
        <w:t xml:space="preserve">The COMPAS controversy catalyzed broader awareness of systemic bias in high-stakes algorithms. Obermeyer and colleagues studied a healthcare risk prediction algorithm that systematically assigned lower risk scores to Black patients with equivalent illness levels, because the tool used healthcare spending as a proxy for health needs (Obermeyer et al., 2019). When researchers redesigned the algorithm to target health measures more directly, racial disparities decreased dramatically. The parallel to COMPAS is instructive: in both cases, algorithms trained on data shaped by systemic racism reproduced existing inequalities under a veneer of objectivity.</w:t>
      </w:r>
    </w:p>
    <w:p w:rsidR="00000000" w:rsidDel="00000000" w:rsidP="00000000" w:rsidRDefault="00000000" w:rsidRPr="00000000" w14:paraId="0000001E">
      <w:pPr>
        <w:spacing w:after="240" w:before="240" w:lineRule="auto"/>
        <w:rPr/>
      </w:pPr>
      <w:r w:rsidDel="00000000" w:rsidR="00000000" w:rsidRPr="00000000">
        <w:rPr>
          <w:rtl w:val="0"/>
        </w:rPr>
        <w:t xml:space="preserve">The visibility of COMPAS contributed to momentum for new transparency mandates. Some states have passed legislation requiring risk assessment tools to undergo independent validation, publish methodologies, and report performance metrics disaggregated by race. While reforms remain incomplete, they represent a normative shift: the presumption that proprietary protection justifies opacity in high-stakes public functions is no longer taken for granted.</w:t>
      </w:r>
    </w:p>
    <w:p w:rsidR="00000000" w:rsidDel="00000000" w:rsidP="00000000" w:rsidRDefault="00000000" w:rsidRPr="00000000" w14:paraId="0000001F">
      <w:pPr>
        <w:pStyle w:val="Heading2"/>
        <w:keepNext w:val="0"/>
        <w:keepLines w:val="0"/>
        <w:spacing w:after="80" w:before="360" w:lineRule="auto"/>
        <w:rPr>
          <w:sz w:val="34"/>
          <w:szCs w:val="34"/>
        </w:rPr>
      </w:pPr>
      <w:bookmarkStart w:colFirst="0" w:colLast="0" w:name="_cyizlfueh5nv" w:id="6"/>
      <w:bookmarkEnd w:id="6"/>
      <w:r w:rsidDel="00000000" w:rsidR="00000000" w:rsidRPr="00000000">
        <w:rPr>
          <w:sz w:val="34"/>
          <w:szCs w:val="34"/>
          <w:rtl w:val="0"/>
        </w:rPr>
        <w:t xml:space="preserve">VI. Conclusion</w:t>
      </w:r>
    </w:p>
    <w:p w:rsidR="00000000" w:rsidDel="00000000" w:rsidP="00000000" w:rsidRDefault="00000000" w:rsidRPr="00000000" w14:paraId="00000020">
      <w:pPr>
        <w:spacing w:after="240" w:before="240" w:lineRule="auto"/>
        <w:rPr/>
      </w:pPr>
      <w:r w:rsidDel="00000000" w:rsidR="00000000" w:rsidRPr="00000000">
        <w:rPr>
          <w:rtl w:val="0"/>
        </w:rPr>
        <w:t xml:space="preserve">The COMPAS controversy demonstrates that no technical adjustment can resolve the tension between protecting proprietary algorithms and ensuring constitutional due process in criminal punishment. The mathematical impossibility of simultaneously satisfying multiple fairness criteria means that choices about which metrics to optimize are inescapably normative.</w:t>
      </w:r>
    </w:p>
    <w:p w:rsidR="00000000" w:rsidDel="00000000" w:rsidP="00000000" w:rsidRDefault="00000000" w:rsidRPr="00000000" w14:paraId="00000021">
      <w:pPr>
        <w:spacing w:after="240" w:before="240" w:lineRule="auto"/>
        <w:rPr/>
      </w:pPr>
      <w:r w:rsidDel="00000000" w:rsidR="00000000" w:rsidRPr="00000000">
        <w:rPr>
          <w:rtl w:val="0"/>
        </w:rPr>
        <w:t xml:space="preserve">The legal architecture surrounding COMPAS revealed how intellectual property law can function as de facto regulation. Trade secret protection allowed a private vendor to determine scrutiny terms, effectively privatizing a judicial function and subordinating due process to commercial interests. Defendants faced a coercive regime: they could not opt out, could not examine the tool assessing them, and had no recourse against a black-boxed system influencing their liberty.</w:t>
      </w:r>
    </w:p>
    <w:p w:rsidR="00000000" w:rsidDel="00000000" w:rsidP="00000000" w:rsidRDefault="00000000" w:rsidRPr="00000000" w14:paraId="00000022">
      <w:pPr>
        <w:spacing w:after="240" w:before="240" w:lineRule="auto"/>
        <w:rPr/>
      </w:pPr>
      <w:r w:rsidDel="00000000" w:rsidR="00000000" w:rsidRPr="00000000">
        <w:rPr>
          <w:rtl w:val="0"/>
        </w:rPr>
        <w:t xml:space="preserve">The resistance mounted by journalists, defense attorneys, and researchers shifted norms around algorithmic accountability, but these efforts remain incomplete substitutes for comprehensive regulation. ProPublica's investigation demonstrated the power of transparency, yet defendants should not rely on journalists to perform validation work that legal standards ought to require. The warning labels mandated in </w:t>
      </w:r>
      <w:r w:rsidDel="00000000" w:rsidR="00000000" w:rsidRPr="00000000">
        <w:rPr>
          <w:i w:val="1"/>
          <w:iCs w:val="1"/>
          <w:rtl w:val="0"/>
        </w:rPr>
        <w:t xml:space="preserve">Loomis</w:t>
      </w:r>
      <w:r w:rsidDel="00000000" w:rsidR="00000000" w:rsidRPr="00000000">
        <w:rPr>
          <w:rtl w:val="0"/>
        </w:rPr>
        <w:t xml:space="preserve"> acknowledge COMPAS limitations without addressing them.</w:t>
      </w:r>
    </w:p>
    <w:p w:rsidR="00000000" w:rsidDel="00000000" w:rsidP="00000000" w:rsidRDefault="00000000" w:rsidRPr="00000000" w14:paraId="00000023">
      <w:pPr>
        <w:spacing w:after="240" w:before="240" w:lineRule="auto"/>
        <w:rPr/>
      </w:pPr>
      <w:r w:rsidDel="00000000" w:rsidR="00000000" w:rsidRPr="00000000">
        <w:rPr>
          <w:rtl w:val="0"/>
        </w:rPr>
        <w:t xml:space="preserve">At its core, reliance on algorithmic risk assessment reflects an attempt to solve a social problem with a technical solution: prediction. This framing obscures the root causes of differential "risk," which are inseparable from structural inequalities in policing, prosecution, and punishment. When algorithms trained on data reflecting systematic over-policing of Black communities are deployed to predict risk, the tool inevitably reproduces racial disparities while laundering them as objective assessments. Calibration confirms that the algorithm successfully mirrors these patterns, but success at prediction is not the same as justice.</w:t>
      </w:r>
    </w:p>
    <w:p w:rsidR="00000000" w:rsidDel="00000000" w:rsidP="00000000" w:rsidRDefault="00000000" w:rsidRPr="00000000" w14:paraId="00000024">
      <w:pPr>
        <w:spacing w:after="240" w:before="240" w:lineRule="auto"/>
        <w:rPr/>
      </w:pPr>
      <w:r w:rsidDel="00000000" w:rsidR="00000000" w:rsidRPr="00000000">
        <w:rPr>
          <w:rtl w:val="0"/>
        </w:rPr>
        <w:t xml:space="preserve">True algorithmic fairness requires more than better mathematics. It demands a regulatory framework that prioritizes transparency and public accountability over commercial intellectual property protections. It requires acknowledging that when base rates differ due to historical injustice, optimizing for accuracy means choosing to perpetuate inequality. Until these principles inform the governance of algorithmic decision-making in criminal justice, tools like COMPAS will continue to encode injustice under the rhetoric of reform.</w:t>
      </w:r>
    </w:p>
    <w:p w:rsidR="00000000" w:rsidDel="00000000" w:rsidP="00000000" w:rsidRDefault="00000000" w:rsidRPr="00000000" w14:paraId="00000025">
      <w:pPr>
        <w:pStyle w:val="Heading2"/>
        <w:keepNext w:val="0"/>
        <w:keepLines w:val="0"/>
        <w:spacing w:after="80" w:before="360" w:lineRule="auto"/>
        <w:rPr>
          <w:sz w:val="34"/>
          <w:szCs w:val="34"/>
        </w:rPr>
      </w:pPr>
      <w:bookmarkStart w:colFirst="0" w:colLast="0" w:name="_ktl63zkjjyp2" w:id="7"/>
      <w:bookmarkEnd w:id="7"/>
      <w:r w:rsidDel="00000000" w:rsidR="00000000" w:rsidRPr="00000000">
        <w:rPr>
          <w:sz w:val="34"/>
          <w:szCs w:val="34"/>
          <w:rtl w:val="0"/>
        </w:rPr>
        <w:t xml:space="preserve">References</w:t>
      </w:r>
    </w:p>
    <w:p w:rsidR="00000000" w:rsidDel="00000000" w:rsidP="00000000" w:rsidRDefault="00000000" w:rsidRPr="00000000" w14:paraId="00000026">
      <w:pPr>
        <w:spacing w:after="240" w:before="240" w:lineRule="auto"/>
        <w:rPr/>
      </w:pPr>
      <w:r w:rsidDel="00000000" w:rsidR="00000000" w:rsidRPr="00000000">
        <w:rPr>
          <w:rtl w:val="0"/>
        </w:rPr>
        <w:t xml:space="preserve">Angwin, J., Larson, J., Mattu, S., &amp; Kirchner, L. (2016, May 23). Machine bias: There's software used across the country to predict future criminals. And it's biased against blacks. </w:t>
      </w:r>
      <w:r w:rsidDel="00000000" w:rsidR="00000000" w:rsidRPr="00000000">
        <w:rPr>
          <w:i w:val="1"/>
          <w:iCs w:val="1"/>
          <w:rtl w:val="0"/>
        </w:rPr>
        <w:t xml:space="preserve">ProPublica</w:t>
      </w:r>
      <w:r w:rsidDel="00000000" w:rsidR="00000000" w:rsidRPr="00000000">
        <w:rPr>
          <w:rtl w:val="0"/>
        </w:rPr>
        <w:t xml:space="preserve">. </w:t>
      </w:r>
      <w:hyperlink r:id="rId6">
        <w:r w:rsidDel="00000000" w:rsidR="00000000" w:rsidRPr="00000000">
          <w:rPr>
            <w:color w:val="1155cc"/>
            <w:u w:val="single"/>
            <w:rtl w:val="0"/>
          </w:rPr>
          <w:t xml:space="preserve">https://www.propublica.org/article/machine-bias-risk-assessments-in-criminal-sentencing</w:t>
        </w:r>
      </w:hyperlink>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Benjamin, R. (2019). </w:t>
      </w:r>
      <w:r w:rsidDel="00000000" w:rsidR="00000000" w:rsidRPr="00000000">
        <w:rPr>
          <w:i w:val="1"/>
          <w:iCs w:val="1"/>
          <w:rtl w:val="0"/>
        </w:rPr>
        <w:t xml:space="preserve">Race after technology: Abolitionist tools for the New Jim Code</w:t>
      </w:r>
      <w:r w:rsidDel="00000000" w:rsidR="00000000" w:rsidRPr="00000000">
        <w:rPr>
          <w:rtl w:val="0"/>
        </w:rPr>
        <w:t xml:space="preserve">. Polity Press.</w:t>
      </w:r>
    </w:p>
    <w:p w:rsidR="00000000" w:rsidDel="00000000" w:rsidP="00000000" w:rsidRDefault="00000000" w:rsidRPr="00000000" w14:paraId="00000028">
      <w:pPr>
        <w:spacing w:after="240" w:before="240" w:lineRule="auto"/>
        <w:rPr/>
      </w:pPr>
      <w:r w:rsidDel="00000000" w:rsidR="00000000" w:rsidRPr="00000000">
        <w:rPr>
          <w:rtl w:val="0"/>
        </w:rPr>
        <w:t xml:space="preserve">Castelnovo, A., Crupi, V., &amp; Gabbani, D. (2025). Algorithmic fairness. In E. N. Zalta &amp; U. Nodelman (Eds.), </w:t>
      </w:r>
      <w:r w:rsidDel="00000000" w:rsidR="00000000" w:rsidRPr="00000000">
        <w:rPr>
          <w:i w:val="1"/>
          <w:iCs w:val="1"/>
          <w:rtl w:val="0"/>
        </w:rPr>
        <w:t xml:space="preserve">The Stanford encyclopedia of philosophy</w:t>
      </w:r>
      <w:r w:rsidDel="00000000" w:rsidR="00000000" w:rsidRPr="00000000">
        <w:rPr>
          <w:rtl w:val="0"/>
        </w:rPr>
        <w:t xml:space="preserve"> (Fall 2025 ed.). Metaphysics Research Lab, Stanford University. </w:t>
      </w:r>
      <w:hyperlink r:id="rId7">
        <w:r w:rsidDel="00000000" w:rsidR="00000000" w:rsidRPr="00000000">
          <w:rPr>
            <w:color w:val="1155cc"/>
            <w:u w:val="single"/>
            <w:rtl w:val="0"/>
          </w:rPr>
          <w:t xml:space="preserve">https://plato.stanford.edu/archives/fall2025/entries/algorithmic-fairness/</w:t>
        </w:r>
      </w:hyperlink>
      <w:r w:rsidDel="00000000" w:rsidR="00000000" w:rsidRPr="00000000">
        <w:rPr>
          <w:rtl w:val="0"/>
        </w:rPr>
        <w:t xml:space="preserve"> </w:t>
      </w:r>
    </w:p>
    <w:p w:rsidR="00000000" w:rsidDel="00000000" w:rsidP="00000000" w:rsidRDefault="00000000" w:rsidRPr="00000000" w14:paraId="00000029">
      <w:pPr>
        <w:spacing w:after="240" w:before="240" w:lineRule="auto"/>
        <w:rPr/>
      </w:pPr>
      <w:r w:rsidDel="00000000" w:rsidR="00000000" w:rsidRPr="00000000">
        <w:rPr>
          <w:rtl w:val="0"/>
        </w:rPr>
        <w:t xml:space="preserve">Kirchner, L., &amp; Larson, J. (2016, July 13). Wisconsin court: Warning labels are needed for scores rating a defendant's risk of future crime. </w:t>
      </w:r>
      <w:r w:rsidDel="00000000" w:rsidR="00000000" w:rsidRPr="00000000">
        <w:rPr>
          <w:i w:val="1"/>
          <w:iCs w:val="1"/>
          <w:rtl w:val="0"/>
        </w:rPr>
        <w:t xml:space="preserve">ProPublica</w:t>
      </w:r>
      <w:r w:rsidDel="00000000" w:rsidR="00000000" w:rsidRPr="00000000">
        <w:rPr>
          <w:rtl w:val="0"/>
        </w:rPr>
        <w:t xml:space="preserve">. </w:t>
      </w:r>
      <w:hyperlink r:id="rId8">
        <w:r w:rsidDel="00000000" w:rsidR="00000000" w:rsidRPr="00000000">
          <w:rPr>
            <w:color w:val="1155cc"/>
            <w:u w:val="single"/>
            <w:rtl w:val="0"/>
          </w:rPr>
          <w:t xml:space="preserve">https://www.propublica.org/article/wisconsin-court-warning-labels-needed-scores-rating-risk-future-crime</w:t>
        </w:r>
      </w:hyperlink>
      <w:r w:rsidDel="00000000" w:rsidR="00000000" w:rsidRPr="00000000">
        <w:rPr>
          <w:rtl w:val="0"/>
        </w:rPr>
        <w:t xml:space="preserve"> </w:t>
      </w:r>
    </w:p>
    <w:p w:rsidR="00000000" w:rsidDel="00000000" w:rsidP="00000000" w:rsidRDefault="00000000" w:rsidRPr="00000000" w14:paraId="0000002A">
      <w:pPr>
        <w:spacing w:after="240" w:before="240" w:lineRule="auto"/>
        <w:rPr/>
      </w:pPr>
      <w:r w:rsidDel="00000000" w:rsidR="00000000" w:rsidRPr="00000000">
        <w:rPr>
          <w:rtl w:val="0"/>
        </w:rPr>
        <w:t xml:space="preserve">Lunshof, J. E., Chadwick, R., Vorhaus, D. B., &amp; Church, G. M. (2008). From genetic privacy to open consent. </w:t>
      </w:r>
      <w:r w:rsidDel="00000000" w:rsidR="00000000" w:rsidRPr="00000000">
        <w:rPr>
          <w:i w:val="1"/>
          <w:iCs w:val="1"/>
          <w:rtl w:val="0"/>
        </w:rPr>
        <w:t xml:space="preserve">Nature Reviews Genetics</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(5), 406–411. </w:t>
      </w:r>
      <w:hyperlink r:id="rId9">
        <w:r w:rsidDel="00000000" w:rsidR="00000000" w:rsidRPr="00000000">
          <w:rPr>
            <w:color w:val="1155cc"/>
            <w:u w:val="single"/>
            <w:rtl w:val="0"/>
          </w:rPr>
          <w:t xml:space="preserve">https://doi.org/10.1038/nrg2360</w:t>
        </w:r>
      </w:hyperlink>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Obermeyer, Z., Powers, B., Vogeli, C., &amp; Mullainathan, S. (2019). Dissecting racial bias in an algorithm used to manage the health of populations. </w:t>
      </w:r>
      <w:r w:rsidDel="00000000" w:rsidR="00000000" w:rsidRPr="00000000">
        <w:rPr>
          <w:i w:val="1"/>
          <w:iCs w:val="1"/>
          <w:rtl w:val="0"/>
        </w:rPr>
        <w:t xml:space="preserve">Science</w:t>
      </w:r>
      <w:r w:rsidDel="00000000" w:rsidR="00000000" w:rsidRPr="00000000">
        <w:rPr>
          <w:rtl w:val="0"/>
        </w:rPr>
        <w:t xml:space="preserve">, </w:t>
      </w:r>
      <w:r w:rsidDel="00000000" w:rsidR="00000000" w:rsidRPr="00000000">
        <w:rPr>
          <w:i w:val="1"/>
          <w:iCs w:val="1"/>
          <w:rtl w:val="0"/>
        </w:rPr>
        <w:t xml:space="preserve">366</w:t>
      </w:r>
      <w:r w:rsidDel="00000000" w:rsidR="00000000" w:rsidRPr="00000000">
        <w:rPr>
          <w:rtl w:val="0"/>
        </w:rPr>
        <w:t xml:space="preserve">(6464), 447–453. </w:t>
      </w:r>
      <w:hyperlink r:id="rId10">
        <w:r w:rsidDel="00000000" w:rsidR="00000000" w:rsidRPr="00000000">
          <w:rPr>
            <w:color w:val="1155cc"/>
            <w:u w:val="single"/>
            <w:rtl w:val="0"/>
          </w:rPr>
          <w:t xml:space="preserve">https://doi.org/10.1126/science.aax2342</w:t>
        </w:r>
      </w:hyperlink>
      <w:r w:rsidDel="00000000" w:rsidR="00000000" w:rsidRPr="00000000">
        <w:rPr>
          <w:rtl w:val="0"/>
        </w:rPr>
        <w:t xml:space="preserve"> </w:t>
      </w:r>
    </w:p>
    <w:p w:rsidR="00000000" w:rsidDel="00000000" w:rsidP="00000000" w:rsidRDefault="00000000" w:rsidRPr="00000000" w14:paraId="0000002C">
      <w:pPr>
        <w:spacing w:after="240" w:before="240" w:lineRule="auto"/>
        <w:rPr/>
      </w:pPr>
      <w:r w:rsidDel="00000000" w:rsidR="00000000" w:rsidRPr="00000000">
        <w:rPr>
          <w:rtl w:val="0"/>
        </w:rPr>
        <w:t xml:space="preserve">Rudin, C., Wang, C., &amp; Coker, B. (2018). The age of secrecy and unfairness in recidivism prediction. </w:t>
      </w:r>
      <w:r w:rsidDel="00000000" w:rsidR="00000000" w:rsidRPr="00000000">
        <w:rPr>
          <w:i w:val="1"/>
          <w:iCs w:val="1"/>
          <w:rtl w:val="0"/>
        </w:rPr>
        <w:t xml:space="preserve">Harvard Data Science Review</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(1). </w:t>
      </w:r>
      <w:hyperlink r:id="rId11">
        <w:r w:rsidDel="00000000" w:rsidR="00000000" w:rsidRPr="00000000">
          <w:rPr>
            <w:color w:val="1155cc"/>
            <w:u w:val="single"/>
            <w:rtl w:val="0"/>
          </w:rPr>
          <w:t xml:space="preserve">https://hdsr.mitpress.mit.edu/pub/7z10o269</w:t>
        </w:r>
      </w:hyperlink>
      <w:r w:rsidDel="00000000" w:rsidR="00000000" w:rsidRPr="00000000">
        <w:rPr>
          <w:rtl w:val="0"/>
        </w:rPr>
        <w:t xml:space="preserve"> </w:t>
      </w:r>
    </w:p>
    <w:p w:rsidR="00000000" w:rsidDel="00000000" w:rsidP="00000000" w:rsidRDefault="00000000" w:rsidRPr="00000000" w14:paraId="0000002D">
      <w:pPr>
        <w:spacing w:after="240" w:before="240" w:lineRule="auto"/>
        <w:rPr/>
      </w:pPr>
      <w:r w:rsidDel="00000000" w:rsidR="00000000" w:rsidRPr="00000000">
        <w:rPr>
          <w:rtl w:val="0"/>
        </w:rPr>
      </w:r>
    </w:p>
    <w:sectPr>
      <w:headerReference r:id="rId12" w:type="default"/>
      <w:headerReference r:id="rId13"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Encoded Injustice</w:t>
      <w:tab/>
      <w:tab/>
      <w:tab/>
      <w:tab/>
      <w:tab/>
      <w:tab/>
      <w:tab/>
      <w:t xml:space="preserve">          </w:t>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Individual Reading Response</w:t>
      <w:tab/>
      <w:t xml:space="preserve">- Module 1</w:t>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ind w:firstLine="720"/>
    </w:pPr>
    <w:rPr>
      <w:b w:val="1"/>
      <w:b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1" Type="http://schemas.openxmlformats.org/officeDocument/2006/relationships/hyperlink" Target="https://hdsr.mitpress.mit.edu/pub/7z10o269" TargetMode="External"/><Relationship Id="rId10" Type="http://schemas.openxmlformats.org/officeDocument/2006/relationships/hyperlink" Target="https://doi.org/10.1126/science.aax2342"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8/nrg2360" TargetMode="External"/><Relationship Id="rId5" Type="http://schemas.openxmlformats.org/officeDocument/2006/relationships/styles" Target="styles.xml"/><Relationship Id="rId6" Type="http://schemas.openxmlformats.org/officeDocument/2006/relationships/hyperlink" Target="https://www.propublica.org/article/machine-bias-risk-assessments-in-criminal-sentencing" TargetMode="External"/><Relationship Id="rId7" Type="http://schemas.openxmlformats.org/officeDocument/2006/relationships/hyperlink" Target="https://plato.stanford.edu/archives/fall2025/entries/algorithmic-fairness/" TargetMode="External"/><Relationship Id="rId8" Type="http://schemas.openxmlformats.org/officeDocument/2006/relationships/hyperlink" Target="https://www.propublica.org/article/wisconsin-court-warning-labels-needed-scores-rating-risk-future-cr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