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Final Project Proposal</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9">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B">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C">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D">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E">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0F">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0">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1">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2">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3">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4">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5">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6">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7">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8">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9">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A">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B">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C">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D">
      <w:pPr>
        <w:spacing w:line="240" w:lineRule="auto"/>
        <w:ind w:left="0" w:firstLine="0"/>
        <w:rPr>
          <w:b w:val="1"/>
          <w:bCs w:val="1"/>
        </w:rPr>
      </w:pPr>
      <w:r w:rsidDel="00000000" w:rsidR="00000000" w:rsidRPr="00000000">
        <w:rPr>
          <w:rtl w:val="0"/>
        </w:rPr>
      </w:r>
    </w:p>
    <w:p w:rsidR="00000000" w:rsidDel="00000000" w:rsidP="00000000" w:rsidRDefault="00000000" w:rsidRPr="00000000" w14:paraId="0000001E">
      <w:pPr>
        <w:spacing w:after="240" w:before="240" w:line="240" w:lineRule="auto"/>
        <w:rPr>
          <w:b w:val="1"/>
          <w:bCs w:val="1"/>
        </w:rPr>
      </w:pPr>
      <w:r w:rsidDel="00000000" w:rsidR="00000000" w:rsidRPr="00000000">
        <w:rPr>
          <w:b w:val="1"/>
          <w:bCs w:val="1"/>
          <w:rtl w:val="0"/>
        </w:rPr>
        <w:t xml:space="preserve">Case Study Focus</w:t>
      </w:r>
    </w:p>
    <w:p w:rsidR="00000000" w:rsidDel="00000000" w:rsidP="00000000" w:rsidRDefault="00000000" w:rsidRPr="00000000" w14:paraId="0000001F">
      <w:pPr>
        <w:spacing w:after="240" w:before="240" w:line="240" w:lineRule="auto"/>
        <w:rPr/>
      </w:pPr>
      <w:r w:rsidDel="00000000" w:rsidR="00000000" w:rsidRPr="00000000">
        <w:rPr>
          <w:rtl w:val="0"/>
        </w:rPr>
        <w:t xml:space="preserve">I propose to analyze the COMPAS risk assessment algorithm used in criminal sentencing decisions across multiple U.S. jurisdictions. My specific focus will be on its implementation in Wisconsin courts and the broader regulatory landscape governing commercial risk assessment tools. COMPAS represents a paradigmatic case of big data expanding into high-stakes social domains where algorithmic predictions directly affect individual liberty. This case highlights urgent questions regarding fairness, transparency, and accountability when proprietary systems replace human discretion.</w:t>
      </w:r>
    </w:p>
    <w:p w:rsidR="00000000" w:rsidDel="00000000" w:rsidP="00000000" w:rsidRDefault="00000000" w:rsidRPr="00000000" w14:paraId="00000020">
      <w:pPr>
        <w:spacing w:after="240" w:before="240" w:line="240" w:lineRule="auto"/>
        <w:rPr>
          <w:b w:val="1"/>
          <w:bCs w:val="1"/>
        </w:rPr>
      </w:pPr>
      <w:r w:rsidDel="00000000" w:rsidR="00000000" w:rsidRPr="00000000">
        <w:rPr>
          <w:b w:val="1"/>
          <w:bCs w:val="1"/>
          <w:rtl w:val="0"/>
        </w:rPr>
        <w:t xml:space="preserve">Analytical Question</w:t>
      </w:r>
    </w:p>
    <w:p w:rsidR="00000000" w:rsidDel="00000000" w:rsidP="00000000" w:rsidRDefault="00000000" w:rsidRPr="00000000" w14:paraId="00000021">
      <w:pPr>
        <w:spacing w:after="240" w:before="240" w:line="240" w:lineRule="auto"/>
        <w:rPr/>
      </w:pPr>
      <w:r w:rsidDel="00000000" w:rsidR="00000000" w:rsidRPr="00000000">
        <w:rPr>
          <w:rtl w:val="0"/>
        </w:rPr>
        <w:t xml:space="preserve">My central question asks how competing definitions of algorithmic fairness reveal fundamental tensions between technical optimization and social justice in big data systems. I will investigate how different regulatory actors have attempted to govern these tensions. Specifically, I will examine how stakeholders evaluated COMPAS through incompatible fairness frameworks and what this incompatibility reveals about the limits of technical solutions to ethical problems. I will further explore how regulatory responses at judicial, legislative, and administrative levels have attempted to balance innovation with due process protections in the absence of cohesive federal standards.</w:t>
      </w:r>
    </w:p>
    <w:p w:rsidR="00000000" w:rsidDel="00000000" w:rsidP="00000000" w:rsidRDefault="00000000" w:rsidRPr="00000000" w14:paraId="00000022">
      <w:pPr>
        <w:spacing w:after="240" w:before="240" w:line="240" w:lineRule="auto"/>
        <w:rPr>
          <w:b w:val="1"/>
          <w:bCs w:val="1"/>
        </w:rPr>
      </w:pPr>
      <w:r w:rsidDel="00000000" w:rsidR="00000000" w:rsidRPr="00000000">
        <w:rPr>
          <w:b w:val="1"/>
          <w:bCs w:val="1"/>
          <w:rtl w:val="0"/>
        </w:rPr>
        <w:t xml:space="preserve">Why This Case Matters</w:t>
      </w:r>
    </w:p>
    <w:p w:rsidR="00000000" w:rsidDel="00000000" w:rsidP="00000000" w:rsidRDefault="00000000" w:rsidRPr="00000000" w14:paraId="00000023">
      <w:pPr>
        <w:spacing w:after="240" w:before="240" w:line="240" w:lineRule="auto"/>
        <w:rPr/>
      </w:pPr>
      <w:r w:rsidDel="00000000" w:rsidR="00000000" w:rsidRPr="00000000">
        <w:rPr>
          <w:rtl w:val="0"/>
        </w:rPr>
        <w:t xml:space="preserve">COMPAS illustrates the critical consequences of big data for both individuals and institutions. The algorithm influenced sentencing decisions affecting thousands of defendants. The 2016 ProPublica audit revealed that the tool falsely labeled Black defendants as high-risk at nearly twice the rate of white defendants. This case sparked scholarly debate about whether algorithmic fairness is mathematically achievable across multiple metrics simultaneously. It also raised constitutional questions about due process when proprietary algorithms shape judicial decisions. The Wisconsin Supreme Court ruling in State v. Loomis established legal precedent distinguishing between considering versus relying on algorithmic outputs. This distinction continues to influence how courts nationwide approach algorithmic evidence. Beyond individual cases, the controversy catalyzed diverse regulatory responses. Some jurisdictions abandoned risk assessment tools entirely while others implemented transparency requirements and oversight mechanisms.</w:t>
      </w:r>
    </w:p>
    <w:p w:rsidR="00000000" w:rsidDel="00000000" w:rsidP="00000000" w:rsidRDefault="00000000" w:rsidRPr="00000000" w14:paraId="00000024">
      <w:pPr>
        <w:spacing w:after="240" w:before="240" w:line="240" w:lineRule="auto"/>
        <w:rPr>
          <w:b w:val="1"/>
          <w:bCs w:val="1"/>
        </w:rPr>
      </w:pPr>
      <w:r w:rsidDel="00000000" w:rsidR="00000000" w:rsidRPr="00000000">
        <w:rPr>
          <w:b w:val="1"/>
          <w:bCs w:val="1"/>
          <w:rtl w:val="0"/>
        </w:rPr>
        <w:t xml:space="preserve">Available Sources</w:t>
      </w:r>
    </w:p>
    <w:p w:rsidR="00000000" w:rsidDel="00000000" w:rsidP="00000000" w:rsidRDefault="00000000" w:rsidRPr="00000000" w14:paraId="00000025">
      <w:pPr>
        <w:spacing w:after="240" w:before="240" w:line="240" w:lineRule="auto"/>
        <w:rPr/>
      </w:pPr>
      <w:hyperlink r:id="rId6">
        <w:r w:rsidDel="00000000" w:rsidR="00000000" w:rsidRPr="00000000">
          <w:rPr>
            <w:color w:val="1155cc"/>
            <w:u w:val="single"/>
            <w:rtl w:val="0"/>
          </w:rPr>
          <w:t xml:space="preserve">https://www.wicourts.gov/sc/opinion/DisplayDocument.pdf?content=pdf&amp;seqNo=171690</w:t>
        </w:r>
      </w:hyperlink>
      <w:r w:rsidDel="00000000" w:rsidR="00000000" w:rsidRPr="00000000">
        <w:rPr>
          <w:rtl w:val="0"/>
        </w:rPr>
      </w:r>
    </w:p>
    <w:p w:rsidR="00000000" w:rsidDel="00000000" w:rsidP="00000000" w:rsidRDefault="00000000" w:rsidRPr="00000000" w14:paraId="00000026">
      <w:pPr>
        <w:spacing w:after="240" w:before="240" w:line="240" w:lineRule="auto"/>
        <w:rPr/>
      </w:pPr>
      <w:hyperlink r:id="rId7">
        <w:r w:rsidDel="00000000" w:rsidR="00000000" w:rsidRPr="00000000">
          <w:rPr>
            <w:color w:val="1155cc"/>
            <w:u w:val="single"/>
            <w:rtl w:val="0"/>
          </w:rPr>
          <w:t xml:space="preserve">https://pmc.ncbi.nlm.nih.gov/articles/PMC10632090/</w:t>
        </w:r>
      </w:hyperlink>
      <w:r w:rsidDel="00000000" w:rsidR="00000000" w:rsidRPr="00000000">
        <w:rPr>
          <w:rtl w:val="0"/>
        </w:rPr>
      </w:r>
    </w:p>
    <w:p w:rsidR="00000000" w:rsidDel="00000000" w:rsidP="00000000" w:rsidRDefault="00000000" w:rsidRPr="00000000" w14:paraId="00000027">
      <w:pPr>
        <w:spacing w:after="240" w:before="240" w:line="240" w:lineRule="auto"/>
        <w:rPr/>
      </w:pPr>
      <w:hyperlink r:id="rId8">
        <w:r w:rsidDel="00000000" w:rsidR="00000000" w:rsidRPr="00000000">
          <w:rPr>
            <w:color w:val="1155cc"/>
            <w:u w:val="single"/>
            <w:rtl w:val="0"/>
          </w:rPr>
          <w:t xml:space="preserve">https://ceur-ws.org/Vol-3961/paper4.pdf</w:t>
        </w:r>
      </w:hyperlink>
      <w:r w:rsidDel="00000000" w:rsidR="00000000" w:rsidRPr="00000000">
        <w:rPr>
          <w:rtl w:val="0"/>
        </w:rPr>
        <w:t xml:space="preserve"> </w:t>
      </w:r>
    </w:p>
    <w:p w:rsidR="00000000" w:rsidDel="00000000" w:rsidP="00000000" w:rsidRDefault="00000000" w:rsidRPr="00000000" w14:paraId="00000028">
      <w:pPr>
        <w:spacing w:after="240" w:before="240" w:line="240" w:lineRule="auto"/>
        <w:rPr>
          <w:b w:val="1"/>
          <w:bCs w:val="1"/>
        </w:rPr>
      </w:pPr>
      <w:r w:rsidDel="00000000" w:rsidR="00000000" w:rsidRPr="00000000">
        <w:rPr>
          <w:b w:val="1"/>
          <w:bCs w:val="1"/>
          <w:rtl w:val="0"/>
        </w:rPr>
        <w:t xml:space="preserve">Analytical Approach</w:t>
      </w:r>
    </w:p>
    <w:p w:rsidR="00000000" w:rsidDel="00000000" w:rsidP="00000000" w:rsidRDefault="00000000" w:rsidRPr="00000000" w14:paraId="00000029">
      <w:pPr>
        <w:spacing w:after="240" w:before="240" w:line="240" w:lineRule="auto"/>
        <w:rPr/>
      </w:pPr>
      <w:r w:rsidDel="00000000" w:rsidR="00000000" w:rsidRPr="00000000">
        <w:rPr>
          <w:rtl w:val="0"/>
        </w:rPr>
        <w:t xml:space="preserve">I will trace how different actors used distinct rationales and evaluation criteria when assessing COMPAS. Northpointe prioritized predictive accuracy and calibration while courts valued institutional efficiency and liability reduction. ProPublica emphasized error rate parity as a civil rights metric. I will use Rodà’s 2025 analysis to examine the mathematical trade-offs between these definitions. I will analyze how proprietary restrictions and resource asymmetries constrained meaningful participation by defendants while enabling certain forms of expert evaluation.</w:t>
      </w:r>
    </w:p>
    <w:p w:rsidR="00000000" w:rsidDel="00000000" w:rsidP="00000000" w:rsidRDefault="00000000" w:rsidRPr="00000000" w14:paraId="0000002A">
      <w:pPr>
        <w:spacing w:after="240" w:before="240" w:line="240" w:lineRule="auto"/>
        <w:rPr/>
      </w:pPr>
      <w:r w:rsidDel="00000000" w:rsidR="00000000" w:rsidRPr="00000000">
        <w:rPr>
          <w:rtl w:val="0"/>
        </w:rPr>
        <w:t xml:space="preserve">I will expand beyond the immediate controversy to examine the regulatory ecosystem that emerged in response. This includes legislative bodies that enacted transparency mandates and administrative agencies that developed oversight protocols. I will draw on the work of Obermeyer to contextually link these issues to broader systemic biases found in big data. This broader regulatory analysis will examine how different governance mechanisms strive to balance the competing values of judicial efficiency, due process, public safety, and racial equity. Finally, I will examine what the impossibility of simultaneously satisfying multiple fairness metrics reveals about the tensions between technical and social conceptions of justice. I will conclude by discussing whether the focus on algorithmic fairness may obscure deeper questions about the legitimacy of risk-based sentencing itself.</w:t>
      </w:r>
    </w:p>
    <w:p w:rsidR="00000000" w:rsidDel="00000000" w:rsidP="00000000" w:rsidRDefault="00000000" w:rsidRPr="00000000" w14:paraId="0000002B">
      <w:pPr>
        <w:spacing w:after="240" w:before="240" w:line="240" w:lineRule="auto"/>
        <w:rPr/>
      </w:pPr>
      <w:r w:rsidDel="00000000" w:rsidR="00000000" w:rsidRPr="00000000">
        <w:rPr>
          <w:rtl w:val="0"/>
        </w:rPr>
      </w:r>
    </w:p>
    <w:p w:rsidR="00000000" w:rsidDel="00000000" w:rsidP="00000000" w:rsidRDefault="00000000" w:rsidRPr="00000000" w14:paraId="0000002C">
      <w:pPr>
        <w:spacing w:line="240" w:lineRule="auto"/>
        <w:ind w:left="0" w:firstLine="0"/>
        <w:rPr>
          <w:b w:val="1"/>
          <w:bCs w:val="1"/>
        </w:rPr>
      </w:pPr>
      <w:r w:rsidDel="00000000" w:rsidR="00000000" w:rsidRPr="00000000">
        <w:rPr>
          <w:rtl w:val="0"/>
        </w:rPr>
      </w:r>
    </w:p>
    <w:sectPr>
      <w:headerReference r:id="rId9" w:type="default"/>
      <w:headerReference r:id="rId10"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Final Project Proposal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wicourts.gov/sc/opinion/DisplayDocument.pdf?content=pdf&amp;seqNo=171690" TargetMode="External"/><Relationship Id="rId7" Type="http://schemas.openxmlformats.org/officeDocument/2006/relationships/hyperlink" Target="https://pmc.ncbi.nlm.nih.gov/articles/PMC10632090/" TargetMode="External"/><Relationship Id="rId8" Type="http://schemas.openxmlformats.org/officeDocument/2006/relationships/hyperlink" Target="https://ceur-ws.org/Vol-3961/paper4.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