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cfsn8dd2dw4" w:id="0"/>
      <w:bookmarkEnd w:id="0"/>
      <w:r w:rsidDel="00000000" w:rsidR="00000000" w:rsidRPr="00000000">
        <w:rPr>
          <w:rtl w:val="0"/>
        </w:rPr>
        <w:t xml:space="preserve">Individual Reading Response - Module 1</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ge1mjihjofy9" w:id="1"/>
      <w:bookmarkEnd w:id="1"/>
      <w:r w:rsidDel="00000000" w:rsidR="00000000" w:rsidRPr="00000000">
        <w:rPr>
          <w:rtl w:val="0"/>
        </w:rPr>
        <w:t xml:space="preserve">Saif Elsaady</w:t>
      </w:r>
    </w:p>
    <w:p w:rsidR="00000000" w:rsidDel="00000000" w:rsidP="00000000" w:rsidRDefault="00000000" w:rsidRPr="00000000" w14:paraId="00000003">
      <w:pPr>
        <w:jc w:val="center"/>
        <w:rPr/>
      </w:pPr>
      <w:r w:rsidDel="00000000" w:rsidR="00000000" w:rsidRPr="00000000">
        <w:rPr>
          <w:rtl w:val="0"/>
        </w:rPr>
        <w:t xml:space="preserve">BIO 511</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cvzw95kvmu13" w:id="2"/>
      <w:bookmarkEnd w:id="2"/>
      <w:r w:rsidDel="00000000" w:rsidR="00000000" w:rsidRPr="00000000">
        <w:rPr>
          <w:rtl w:val="0"/>
        </w:rPr>
        <w:t xml:space="preserve">Arizona State University</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ind w:firstLine="0"/>
        <w:jc w:val="left"/>
        <w:rPr>
          <w:b w:val="0"/>
          <w:bCs w:val="0"/>
        </w:rPr>
      </w:pPr>
      <w:bookmarkStart w:colFirst="0" w:colLast="0" w:name="_gbqsqh5nrmi3" w:id="3"/>
      <w:bookmarkEnd w:id="3"/>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ind w:firstLine="0"/>
        <w:jc w:val="center"/>
        <w:rPr>
          <w:b w:val="0"/>
          <w:bCs w:val="0"/>
        </w:rPr>
      </w:pPr>
      <w:bookmarkStart w:colFirst="0" w:colLast="0" w:name="_pt4jb15m7c68" w:id="4"/>
      <w:bookmarkEnd w:id="4"/>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ind w:firstLine="0"/>
        <w:jc w:val="center"/>
        <w:rPr/>
      </w:pPr>
      <w:bookmarkStart w:colFirst="0" w:colLast="0" w:name="_m581b6v6id7s" w:id="5"/>
      <w:bookmarkEnd w:id="5"/>
      <w:r w:rsidDel="00000000" w:rsidR="00000000" w:rsidRPr="00000000">
        <w:rPr>
          <w:rtl w:val="0"/>
        </w:rPr>
        <w:t xml:space="preserve">Section 1: How Leonelli’s Relational View Differs from Representational Views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Leonelli’s relational view challenges the traditional belief that data are fixed, objective representations of reality. In representational views, data are often seen as neutral and self-explanatory, serving as direct windows into the world. This older perspective treats data as stable facts that stand apart from human interpretation. Leonelli disagrees with this idea and instead argues that data are meaningful only in relation to how researchers use them.</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In her view, data are not inherently true or false. They become data only when someone treats them as potential evidence for a particular claim or research question. The process of collecting, formatting, and interpreting data is influenced by human choices, instruments, and goals. For example, the way a scientist records a measurement or selects an image determines what can later be learned from it. Representational views tend to overlook these factors, assuming that data naturally reflect reality. Leonelli’s relational approach shows that data are active participants in knowledge-making rather than passive records of the world.</w:t>
      </w:r>
    </w:p>
    <w:p w:rsidR="00000000" w:rsidDel="00000000" w:rsidP="00000000" w:rsidRDefault="00000000" w:rsidRPr="00000000" w14:paraId="0000000C">
      <w:pPr>
        <w:pStyle w:val="Heading1"/>
        <w:rPr/>
      </w:pPr>
      <w:bookmarkStart w:colFirst="0" w:colLast="0" w:name="_gy7k5p14eqkz" w:id="6"/>
      <w:bookmarkEnd w:id="6"/>
      <w:r w:rsidDel="00000000" w:rsidR="00000000" w:rsidRPr="00000000">
        <w:rPr>
          <w:rtl w:val="0"/>
        </w:rPr>
        <w:t xml:space="preserve">Section 2: The Role of Portability and Context</w:t>
      </w:r>
    </w:p>
    <w:p w:rsidR="00000000" w:rsidDel="00000000" w:rsidP="00000000" w:rsidRDefault="00000000" w:rsidRPr="00000000" w14:paraId="0000000D">
      <w:pPr>
        <w:ind w:firstLine="720"/>
        <w:rPr/>
      </w:pPr>
      <w:r w:rsidDel="00000000" w:rsidR="00000000" w:rsidRPr="00000000">
        <w:rPr>
          <w:rtl w:val="0"/>
        </w:rPr>
        <w:t xml:space="preserve">A central part of Leonelli’s theory is the idea of portability. For something to count as data, it must be able to move between people, institutions, or disciplines while still being used as evidence. This ability to travel allows data to connect different areas of research and to take on new meanings. Portability is not automatic. It depends on the ways data are stored, formatted, and described. For example, a DNA sequence or a digital image must often be converted into standardized formats before others can reuse it.</w:t>
      </w:r>
    </w:p>
    <w:p w:rsidR="00000000" w:rsidDel="00000000" w:rsidP="00000000" w:rsidRDefault="00000000" w:rsidRPr="00000000" w14:paraId="0000000E">
      <w:pPr>
        <w:ind w:firstLine="720"/>
        <w:rPr/>
      </w:pPr>
      <w:r w:rsidDel="00000000" w:rsidR="00000000" w:rsidRPr="00000000">
        <w:rPr>
          <w:rtl w:val="0"/>
        </w:rPr>
        <w:t xml:space="preserve">Leonelli points out that this process of preparing and sharing data is a major part of scientific work. Representational theories tend to ignore these material and social practices. They assume data simply exist as facts that can be passed along without change. In reality, data are constantly being reinterpreted and reshaped as they move across contexts. What counts as data in one lab may not be considered data in another. Leonelli’s relational approach highlights that meaning is flexible and that the value of data depends on how they are circulated and reused.</w:t>
      </w:r>
    </w:p>
    <w:p w:rsidR="00000000" w:rsidDel="00000000" w:rsidP="00000000" w:rsidRDefault="00000000" w:rsidRPr="00000000" w14:paraId="0000000F">
      <w:pPr>
        <w:pStyle w:val="Heading1"/>
        <w:rPr/>
      </w:pPr>
      <w:bookmarkStart w:colFirst="0" w:colLast="0" w:name="_dc9pb01ysn1q" w:id="7"/>
      <w:bookmarkEnd w:id="7"/>
      <w:r w:rsidDel="00000000" w:rsidR="00000000" w:rsidRPr="00000000">
        <w:rPr>
          <w:rtl w:val="0"/>
        </w:rPr>
        <w:t xml:space="preserve">Section 3: Usefulness of the Relational Definition</w:t>
      </w:r>
    </w:p>
    <w:p w:rsidR="00000000" w:rsidDel="00000000" w:rsidP="00000000" w:rsidRDefault="00000000" w:rsidRPr="00000000" w14:paraId="00000010">
      <w:pPr>
        <w:ind w:firstLine="720"/>
        <w:rPr/>
      </w:pPr>
      <w:r w:rsidDel="00000000" w:rsidR="00000000" w:rsidRPr="00000000">
        <w:rPr>
          <w:rtl w:val="0"/>
        </w:rPr>
        <w:t xml:space="preserve">Leonelli’s relational definition is useful because it broadens how we understand the role of data in science. It encourages scientists and philosophers to see data not as fixed pieces of information but as evolving tools that gain meaning through interaction. This perspective gives proper credit to the work of data collection, curation, and management, which are often overlooked in traditional views. Tasks like cleaning datasets, maintaining archives, or designing storage systems are not just technical chores. They are part of how knowledge is built and shared.</w:t>
      </w:r>
    </w:p>
    <w:p w:rsidR="00000000" w:rsidDel="00000000" w:rsidP="00000000" w:rsidRDefault="00000000" w:rsidRPr="00000000" w14:paraId="00000011">
      <w:pPr>
        <w:ind w:firstLine="720"/>
        <w:rPr/>
      </w:pPr>
      <w:r w:rsidDel="00000000" w:rsidR="00000000" w:rsidRPr="00000000">
        <w:rPr>
          <w:rtl w:val="0"/>
        </w:rPr>
        <w:t xml:space="preserve">This definition also supports interdisciplinary research. Since data can be reused and reinterpreted, the same dataset might help answer questions in biology, computer science, and engineering. Recognizing this flexibility encourages collaboration and creativity. In addition, the relational view promotes transparency and responsibility in data handling. It reminds researchers that data are shaped by choices and contexts, so documenting those decisions is essential for reliability and trust.</w:t>
      </w:r>
    </w:p>
    <w:sectPr>
      <w:headerReference r:id="rId6" w:type="default"/>
      <w:headerReference r:id="rId7"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Individual Reading Response</w:t>
      <w:tab/>
      <w:t xml:space="preserve">- Module 1  </w:t>
      <w:tab/>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Individual Reading Response</w:t>
      <w:tab/>
      <w:t xml:space="preserve">- Module 1</w:t>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ind w:firstLine="720"/>
    </w:pPr>
    <w:rPr>
      <w:b w:val="1"/>
      <w:b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