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Individual Reading Response - Module 2</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Saif Elsaady</w:t>
      </w:r>
    </w:p>
    <w:p w:rsidR="00000000" w:rsidDel="00000000" w:rsidP="00000000" w:rsidRDefault="00000000" w:rsidRPr="00000000" w14:paraId="00000003">
      <w:pPr>
        <w:jc w:val="center"/>
        <w:rPr/>
      </w:pPr>
      <w:r w:rsidDel="00000000" w:rsidR="00000000" w:rsidRPr="00000000">
        <w:rPr>
          <w:rtl w:val="0"/>
        </w:rPr>
        <w:t xml:space="preserve">BIO 511</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Arizona State University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ind w:firstLine="0"/>
        <w:jc w:val="left"/>
        <w:rPr>
          <w:b w:val="0"/>
          <w:bCs w:val="0"/>
        </w:rPr>
      </w:pPr>
      <w:bookmarkStart w:colFirst="0" w:colLast="0" w:name="_gbqsqh5nrmi3" w:id="3"/>
      <w:bookmarkEnd w:id="3"/>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m581b6v6id7s" w:id="5"/>
      <w:bookmarkEnd w:id="5"/>
      <w:r w:rsidDel="00000000" w:rsidR="00000000" w:rsidRPr="00000000">
        <w:rPr>
          <w:rtl w:val="0"/>
        </w:rPr>
        <w:t xml:space="preserve">Section A: How the readings frame the ethical and moral issues raised by big data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Barocas and Boyd present ethics as something data scientists already practice within routine technical work. They show how choices about cleaning incomplete data, selecting validation strategies, setting acceptable error rates, and balancing accuracy with interpretability are value-laden decisions. Each step requires judgment about who might be harmed by different kinds of mistakes and what level of explanation is necessary for responsible use. Their point is that outsiders often treat ethics as a separate layer, while in reality, reflection is already embedded in everyday modeling practice. They also highlight fairness disputes where different statistical ideals cannot all be satisfied at once, which turns technical configuration into a choice among competing values rather than a simple fix. Finally, they call for collaboration between critics and practitioners so that normative concerns and technical constraints are negotiated together rather than at cross purposes.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Leonelli reframes the question by asking what counts as data in the first place. She argues that data are relational and become evidence only when people treat them as such and make them travel. On this account, the ethical life of data sits inside curation and circulation practices. Format, medium, and documentation shape what others can see, test, and contest. Portability is not a convenience but a precondition for public scrutiny and shared responsibility in science. The same object may function as data in one setting and not in another, which means decisions about storage, reformatting, and metadata are moral choices that enable or block accountability downstream. Ethics is therefore infused through packaging, movement, and re-use rather than added at the end.</w:t>
      </w:r>
    </w:p>
    <w:p w:rsidR="00000000" w:rsidDel="00000000" w:rsidP="00000000" w:rsidRDefault="00000000" w:rsidRPr="00000000" w14:paraId="0000000C">
      <w:pPr>
        <w:pStyle w:val="Heading1"/>
        <w:rPr/>
      </w:pPr>
      <w:bookmarkStart w:colFirst="0" w:colLast="0" w:name="_gy7k5p14eqkz" w:id="6"/>
      <w:bookmarkEnd w:id="6"/>
      <w:r w:rsidDel="00000000" w:rsidR="00000000" w:rsidRPr="00000000">
        <w:rPr>
          <w:rtl w:val="0"/>
        </w:rPr>
        <w:t xml:space="preserve">Section B: My influences on the ethics and morality of big data</w:t>
      </w:r>
    </w:p>
    <w:p w:rsidR="00000000" w:rsidDel="00000000" w:rsidP="00000000" w:rsidRDefault="00000000" w:rsidRPr="00000000" w14:paraId="0000000D">
      <w:pPr>
        <w:ind w:firstLine="720"/>
        <w:rPr/>
      </w:pPr>
      <w:r w:rsidDel="00000000" w:rsidR="00000000" w:rsidRPr="00000000">
        <w:rPr>
          <w:rtl w:val="0"/>
        </w:rPr>
        <w:t xml:space="preserve">influence ethics each time I plan, build, evaluate, and share models or datasets. At intake, I can insist on provenance notes, record why rows are removed or imputed, and publish concise datasheets so later users can understand scope and limits. During modeling, I can select error metrics that match lived impacts, report group-level performance rather than only aggregate scores, and choose simpler models when decisions affect people directly. These are the kinds of value choices that Barocas and boyd describe as part of routine practice, so writing short decision memos that state tradeoffs makes the moral reasoning visible to teammates and reviewers.</w:t>
      </w:r>
    </w:p>
    <w:p w:rsidR="00000000" w:rsidDel="00000000" w:rsidP="00000000" w:rsidRDefault="00000000" w:rsidRPr="00000000" w14:paraId="0000000E">
      <w:pPr>
        <w:ind w:firstLine="720"/>
        <w:rPr/>
      </w:pPr>
      <w:r w:rsidDel="00000000" w:rsidR="00000000" w:rsidRPr="00000000">
        <w:rPr>
          <w:rtl w:val="0"/>
        </w:rPr>
        <w:t xml:space="preserve">I also shape ethics through the way I package and move results. Aligning with Leonelli, I can use open, well-documented formats, attach rich metadata, and preserve audit trails so results can travel and be checked by others. When publishing or handing off work, I can include assumptions, test data notes, and known failure cases to support responsible re-use. Portability with context makes it possible for others to spot bias, reproduce analyses, and correct mistakes, which turns circulation into a site of accountability rather than a risk.</w:t>
      </w:r>
    </w:p>
    <w:p w:rsidR="00000000" w:rsidDel="00000000" w:rsidP="00000000" w:rsidRDefault="00000000" w:rsidRPr="00000000" w14:paraId="0000000F">
      <w:pPr>
        <w:ind w:firstLine="720"/>
        <w:rPr/>
      </w:pPr>
      <w:r w:rsidDel="00000000" w:rsidR="00000000" w:rsidRPr="00000000">
        <w:rPr>
          <w:rtl w:val="0"/>
        </w:rPr>
        <w:t xml:space="preserve">Finally, I can set guardrails around deployment and learning from real-world use. Before release, I can invite red team reviews and commit to rollback plans tied to clear thresholds. After release, I can monitor error patterns that disproportionately affect specific groups and prioritize fixes that reduce harm. When the goals or context shift, I can escalate concerns, pause expansion, or seek external review. These actions keep ethics inside the pipeline rather than as a late audit, and they respect both the practice-centered view of Barocas and boyd and the portability-centered view of Leonelli by making models understandable, traceable, and contestable as they move.</w:t>
      </w:r>
    </w:p>
    <w:sectPr>
      <w:headerReference r:id="rId6" w:type="default"/>
      <w:headerReference r:id="rId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2  </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