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Individual Reading Response - Module 4</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Saif Elsaady</w:t>
      </w:r>
    </w:p>
    <w:p w:rsidR="00000000" w:rsidDel="00000000" w:rsidP="00000000" w:rsidRDefault="00000000" w:rsidRPr="00000000" w14:paraId="00000003">
      <w:pPr>
        <w:jc w:val="center"/>
        <w:rPr/>
      </w:pPr>
      <w:r w:rsidDel="00000000" w:rsidR="00000000" w:rsidRPr="00000000">
        <w:rPr>
          <w:rtl w:val="0"/>
        </w:rPr>
        <w:t xml:space="preserve">BIO 511</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Arizona State University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ind w:firstLine="0"/>
        <w:jc w:val="left"/>
        <w:rPr>
          <w:b w:val="0"/>
          <w:bCs w:val="0"/>
        </w:rPr>
      </w:pPr>
      <w:bookmarkStart w:colFirst="0" w:colLast="0" w:name="_gbqsqh5nrmi3" w:id="3"/>
      <w:bookmarkEnd w:id="3"/>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4"/>
      <w:bookmarkEnd w:id="4"/>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720"/>
        <w:rPr/>
      </w:pPr>
      <w:r w:rsidDel="00000000" w:rsidR="00000000" w:rsidRPr="00000000">
        <w:rPr>
          <w:rtl w:val="0"/>
        </w:rPr>
        <w:t xml:space="preserve">Obermeyer et al. (2019) found that training a healthcare algorithm on cost instead of health status created serious bias in how a hospital system identified patients for high-risk care programs. The algorithm was designed to predict which patients would most benefit from extra care and support. It used future healthcare costs as its target, assuming that patients who cost more were those with the most severe health needs. However, this assumption ignores systemic inequalities that affect healthcare spending. Because Black patients often receive less medical care and face barriers to access, they tend to generate lower healthcare costs even when they are sicker than White patients. As a result, the algorithm consistently underestimated the needs of Black patients and selected fewer of them for additional care.</w:t>
      </w:r>
    </w:p>
    <w:p w:rsidR="00000000" w:rsidDel="00000000" w:rsidP="00000000" w:rsidRDefault="00000000" w:rsidRPr="00000000" w14:paraId="0000000A">
      <w:pPr>
        <w:ind w:left="0" w:firstLine="720"/>
        <w:rPr/>
      </w:pPr>
      <w:r w:rsidDel="00000000" w:rsidR="00000000" w:rsidRPr="00000000">
        <w:rPr>
          <w:rtl w:val="0"/>
        </w:rPr>
        <w:t xml:space="preserve">This issue reflected a form of calibration bias, which occurs when an algorithm’s predictions do not align with the actual outcomes they are meant to represent. The algorithm appeared accurate when comparing predicted and actual costs, but it was not accurate when predicting health needs. At the same predicted risk level, Black patients had more chronic illnesses and more severe conditions than White patients. The model was therefore well calibrated for cost but poorly calibrated for health.</w:t>
      </w:r>
    </w:p>
    <w:p w:rsidR="00000000" w:rsidDel="00000000" w:rsidP="00000000" w:rsidRDefault="00000000" w:rsidRPr="00000000" w14:paraId="0000000B">
      <w:pPr>
        <w:ind w:left="0" w:firstLine="720"/>
        <w:rPr/>
      </w:pPr>
      <w:r w:rsidDel="00000000" w:rsidR="00000000" w:rsidRPr="00000000">
        <w:rPr>
          <w:rtl w:val="0"/>
        </w:rPr>
        <w:t xml:space="preserve">The researchers demonstrated that this problem arose from the choice of training label rather than from the model itself. When they retrained the algorithm to consider both cost and health indicators, the racial bias was reduced by 84 percent. This finding shows how using an imperfect proxy variable can reproduce structural inequalities within predictive systems. It also highlights the importance of aligning algorithms with the true goals of healthcare, to identify need and improve patient outcomes, rather than relying on measures such as cost that reflect existing disparities.</w:t>
      </w:r>
    </w:p>
    <w:sectPr>
      <w:headerReference r:id="rId6" w:type="default"/>
      <w:headerReference r:id="rId7"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Module4  </w:t>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w:t>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