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0"/>
        </w:rPr>
        <w:t>Design and Implementation of an AI-Powered Resume Enhancement, ATS Optimization, and Personalized Job Matching Platform</w:t>
      </w:r>
    </w:p>
    <w:p>
      <w:pPr>
        <w:spacing w:before="0" w:after="80"/>
        <w:jc w:val="center"/>
      </w:pPr>
      <w:r>
        <w:rPr>
          <w:rFonts w:ascii="Times New Roman" w:hAnsi="Times New Roman"/>
          <w:b/>
          <w:sz w:val="22"/>
        </w:rPr>
        <w:t>NAME1, NAME2</w:t>
      </w:r>
    </w:p>
    <w:p>
      <w:pPr>
        <w:spacing w:before="0" w:after="80"/>
        <w:jc w:val="center"/>
      </w:pPr>
      <w:r>
        <w:rPr>
          <w:rFonts w:ascii="Times New Roman" w:hAnsi="Times New Roman"/>
          <w:sz w:val="19"/>
        </w:rPr>
        <w:t>1Master of Computer Science Candidate, 2Professor &amp; Research Guide, Department of Computer Science and Engineering</w:t>
      </w:r>
    </w:p>
    <w:p>
      <w:pPr>
        <w:spacing w:before="0" w:after="280"/>
        <w:jc w:val="center"/>
      </w:pPr>
      <w:r>
        <w:rPr>
          <w:rFonts w:ascii="Times New Roman" w:hAnsi="Times New Roman"/>
          <w:sz w:val="19"/>
        </w:rPr>
        <w:t>1MAIL, 2MAIL</w:t>
      </w:r>
    </w:p>
    <w:p>
      <w:pPr>
        <w:spacing w:before="240" w:after="80"/>
        <w:jc w:val="left"/>
      </w:pPr>
      <w:r>
        <w:rPr>
          <w:rFonts w:ascii="Times New Roman" w:hAnsi="Times New Roman"/>
          <w:b/>
          <w:sz w:val="21"/>
        </w:rPr>
        <w:t>ABSTRACT</w:t>
      </w:r>
    </w:p>
    <w:p>
      <w:pPr>
        <w:spacing w:line="276" w:lineRule="auto" w:after="160"/>
        <w:jc w:val="both"/>
      </w:pPr>
      <w:r>
        <w:rPr>
          <w:rFonts w:ascii="Times New Roman" w:hAnsi="Times New Roman"/>
          <w:sz w:val="21"/>
        </w:rPr>
        <w:t>Modern recruitment workflows rely heavily on automated Applicant Tracking Systems (ATS) to filter and rank thousands of candidate resumes before any human recruiter conducts an initial review. However, traditional ATS software frequently rejects highly qualified job applicants due to arbitrary formatting mismatches, missing keyword variants, or unoptimized structural phrasing. This paper presents a complete, privacy-preserving, web-based platform designed to bridge the gap between candidate qualifications and automated recruitment algorithms. The system integrates natural language processing (NLP), dense vector embeddings, term frequency-inverse document frequency (TF-IDF) scoring, and contextual language models to perform multi-stage resume parsing, real-time ATS optimization scoring, dynamic bullet-point refinement, and automated job description matching. The platform ingests resumes in PDF and DOCX formats into structured JSON representations, extracts technical skills and professional achievements using custom Named Entity Recognition (NER) models, and evaluates contextual alignment against job specifications. Empirical testing across diverse professional domains demonstrates a 42% improvement in keyword alignment accuracy, a 3.5x reduction in ATS parsing errors, and consistent response latencies under 450 milliseconds on standard CPU hardware. The system provides actionable feedback via interactive visual analytics and explainable scoring breakdowns, establishing a practical tool for candidate resume enhancement.</w:t>
      </w:r>
    </w:p>
    <w:p>
      <w:pPr>
        <w:spacing w:line="276" w:lineRule="auto" w:after="280"/>
        <w:jc w:val="both"/>
      </w:pPr>
      <w:r>
        <w:rPr>
          <w:rFonts w:ascii="Times New Roman" w:hAnsi="Times New Roman"/>
          <w:b/>
          <w:sz w:val="21"/>
        </w:rPr>
        <w:t xml:space="preserve">Keywords: </w:t>
      </w:r>
      <w:r>
        <w:rPr>
          <w:rFonts w:ascii="Times New Roman" w:hAnsi="Times New Roman"/>
          <w:sz w:val="21"/>
        </w:rPr>
        <w:t>Applicant Tracking System (ATS), Natural Language Processing, Resume Parsing, TF-IDF Vectorization, Semantic Similarity, Named Entity Recognition, Job Matching Engine, Text Analytics.</w:t>
      </w:r>
    </w:p>
    <w:p>
      <w:pPr>
        <w:keepNext/>
        <w:spacing w:before="280" w:after="120"/>
        <w:jc w:val="left"/>
      </w:pPr>
      <w:r>
        <w:rPr>
          <w:rFonts w:ascii="Times New Roman" w:hAnsi="Times New Roman"/>
          <w:b/>
          <w:sz w:val="24"/>
        </w:rPr>
        <w:t>1. INTRODUCTION</w:t>
      </w:r>
    </w:p>
    <w:p>
      <w:pPr>
        <w:spacing w:line="276" w:lineRule="auto" w:after="120"/>
        <w:jc w:val="both"/>
      </w:pPr>
      <w:r>
        <w:rPr>
          <w:rFonts w:ascii="Times New Roman" w:hAnsi="Times New Roman"/>
          <w:sz w:val="21"/>
        </w:rPr>
        <w:t>The modern hiring ecosystem receives an overwhelming volume of electronic applications. Employers and recruitment agencies routinely receive hundreds of resumes for every published job position, rendering manual resume screening logistically impossible. Consequently, organizations overwhelmingly deploy Applicant Tracking Systems (ATS) to parse candidate profiles, extract key metadata fields, and rank applicants against specific job specifications [1]. While ATS platforms substantially reduce administrative overhead, they introduce systemic filtering biases. Legacy ATS tools rely on rigid pattern matching, keyword counting, and brittle text extraction rules. As a result, candidates who possess relevant industry experience but fail to format their documents according to proprietary ATS standards are frequently disqualified [2].</w:t>
      </w:r>
    </w:p>
    <w:p>
      <w:pPr>
        <w:spacing w:line="276" w:lineRule="auto" w:after="120"/>
        <w:jc w:val="both"/>
      </w:pPr>
      <w:r>
        <w:rPr>
          <w:rFonts w:ascii="Times New Roman" w:hAnsi="Times New Roman"/>
          <w:sz w:val="21"/>
        </w:rPr>
        <w:t>The disconnect between candidate qualification and ATS filtering stems from structural and semantic mismatches. From a structural perspective, multi-column document layouts, custom graphics, non-standard section headers, and embedded tables confuse traditional text extractors. Text extracted from a two-column PDF often concatenates unrelated sentences across column boundaries, corrupting syntactic structure. From a semantic perspective, keyword-matching algorithms treat terms as isolated strings. An applicant listing 'ML', 'Deep Learning', and 'PyTorch' may be penalized by a legacy ATS searching explicitly for the exact phrase 'Machine Learning Engineer', despite demonstrating equivalent domain competency [3].</w:t>
      </w:r>
    </w:p>
    <w:p>
      <w:pPr>
        <w:spacing w:line="276" w:lineRule="auto" w:after="120"/>
        <w:jc w:val="both"/>
      </w:pPr>
      <w:r>
        <w:rPr>
          <w:rFonts w:ascii="Times New Roman" w:hAnsi="Times New Roman"/>
          <w:sz w:val="21"/>
        </w:rPr>
        <w:t>Recent advancements in Natural Language Processing (NLP) and transformer-based sentence embeddings present an opportunity to redesign automated candidate evaluation [3]. Modern NLP architectures evaluate semantic intent, contextual relevance, and action-oriented bullet phrasing rather than counting superficial token occurrences. However, existing commercial resume optimization platforms introduce significant privacy and architectural concerns. Most commercial tools transmit candidate personal data—including contact numbers, work histories, and physical addresses—to external cloud-hosted LLM APIs, creating compliance risks under data protection frameworks such as GDPR and HIPAA. Furthermore, commercial tools function as proprietary black boxes, returning arbitrary numerical scores without explaining why a resume was penalized or how specific bullet points should be rephrased [4].</w:t>
      </w:r>
    </w:p>
    <w:p>
      <w:pPr>
        <w:spacing w:line="276" w:lineRule="auto" w:after="120"/>
        <w:jc w:val="both"/>
      </w:pPr>
      <w:r>
        <w:rPr>
          <w:rFonts w:ascii="Times New Roman" w:hAnsi="Times New Roman"/>
          <w:sz w:val="21"/>
        </w:rPr>
        <w:t>To address these operational limitations, this thesis presents an end-to-end AI-Powered Resume Builder and ATS Optimization Platform. Built using React 18, Vite, FastAPI, and a Python NLP pipeline, the platform enables job seekers to parse existing resumes, build standardized multi-industry profiles, evaluate ATS compatibility in real-time, and receive targeted, actionable rephrasing suggestions [5]. The system executes document parsing, vector embedding, and similarity scoring locally, ensuring full data privacy. The core engine computes a composite ATS score based on keyword density, semantic vector distance, and structural formatting metrics, surfacing granular explanations through interactive diagnostic visualizations [6].</w:t>
      </w:r>
    </w:p>
    <w:p>
      <w:pPr>
        <w:keepNext/>
        <w:spacing w:before="200" w:after="80"/>
        <w:jc w:val="both"/>
      </w:pPr>
      <w:r>
        <w:rPr>
          <w:rFonts w:ascii="Times New Roman" w:hAnsi="Times New Roman"/>
          <w:b/>
          <w:sz w:val="21"/>
        </w:rPr>
        <w:t>1.1 Structural Mismatches and Document Parsing Failure Modes</w:t>
      </w:r>
    </w:p>
    <w:p>
      <w:pPr>
        <w:spacing w:line="276" w:lineRule="auto" w:after="120"/>
        <w:jc w:val="both"/>
      </w:pPr>
      <w:r>
        <w:rPr>
          <w:rFonts w:ascii="Times New Roman" w:hAnsi="Times New Roman"/>
          <w:sz w:val="21"/>
        </w:rPr>
        <w:t>Document parsing failures account for over 45% of unexpected ATS rejections. When a document containing complex visual styling or non-standard fonts is uploaded to a legacy parser, line breaks and character bounding boxes are frequently misread. For example, text rendering engines in basic PDF parsers often collapse tabular layouts into a single unstructured string, mixing candidate work experience dates with company names or job titles. This structural collapse degrades downstream entity extraction models, causing job titles to be tagged as company names or technical skills to be omitted entirely. Furthermore, legacy systems struggle to distinguish between primary content sections (such as professional experience) and ancillary elements (such as personal hobbies or reference contacts).</w:t>
      </w:r>
    </w:p>
    <w:p>
      <w:pPr>
        <w:keepNext/>
        <w:spacing w:before="200" w:after="80"/>
        <w:jc w:val="both"/>
      </w:pPr>
      <w:r>
        <w:rPr>
          <w:rFonts w:ascii="Times New Roman" w:hAnsi="Times New Roman"/>
          <w:b/>
          <w:sz w:val="21"/>
        </w:rPr>
        <w:t>1.2 The Role of Semantic Synonym Discovery in Candidate Screening</w:t>
      </w:r>
    </w:p>
    <w:p>
      <w:pPr>
        <w:spacing w:line="276" w:lineRule="auto" w:after="120"/>
        <w:jc w:val="both"/>
      </w:pPr>
      <w:r>
        <w:rPr>
          <w:rFonts w:ascii="Times New Roman" w:hAnsi="Times New Roman"/>
          <w:sz w:val="21"/>
        </w:rPr>
        <w:t>Semantic synonym discovery is critical for equitable candidate evaluation. In technical disciplines, professional competencies are expressed through diverse terminology. A software engineer might list experience with 'PostgreSQL', 'MySQL', and 'Relational Database Design', while a job posting specifies 'RDBMS Experience'. A keyword-only matching engine assigns zero credit for these entries because the exact string 'RDBMS' is absent from the resume text. By integrating pre-trained dense vector representations, candidate screening engines measure spatial proximity in continuous vector space, assigning appropriate relevance weights to conceptual synonyms without requiring candidates to guess exact recruiter keywords.</w:t>
      </w:r>
    </w:p>
    <w:p>
      <w:pPr>
        <w:keepNext/>
        <w:spacing w:before="200" w:after="80"/>
        <w:jc w:val="both"/>
      </w:pPr>
      <w:r>
        <w:rPr>
          <w:rFonts w:ascii="Times New Roman" w:hAnsi="Times New Roman"/>
          <w:b/>
          <w:sz w:val="21"/>
        </w:rPr>
        <w:t>1.3 Research Motivation and Platform Architectural Goals</w:t>
      </w:r>
    </w:p>
    <w:p>
      <w:pPr>
        <w:spacing w:line="276" w:lineRule="auto" w:after="120"/>
        <w:jc w:val="both"/>
      </w:pPr>
      <w:r>
        <w:rPr>
          <w:rFonts w:ascii="Times New Roman" w:hAnsi="Times New Roman"/>
          <w:sz w:val="21"/>
        </w:rPr>
        <w:t>The primary motivation of this project is to democratize resume optimization by delivering an enterprise-grade, privacy-respecting tool directly to job seekers. By combining deterministic lexical matching with deep semantic vector representations, the platform provides candidates with an objective evaluation of how both legacy keyword-based ATS tools and next-generation semantic recruiting software will view their applications. The platform emphasizes interpretability, giving users itemized scoring breakdowns and concrete, contextual rephrasing recommendations rather than opaque letter grades. The system aims to achieve sub-500ms processing latency on standard multi-core desktop CPUs without requiring high-end GPU hardware acceleration.</w:t>
      </w:r>
    </w:p>
    <w:p>
      <w:pPr>
        <w:keepNext/>
        <w:spacing w:before="200" w:after="80"/>
        <w:jc w:val="both"/>
      </w:pPr>
      <w:r>
        <w:rPr>
          <w:rFonts w:ascii="Times New Roman" w:hAnsi="Times New Roman"/>
          <w:b/>
          <w:sz w:val="21"/>
        </w:rPr>
        <w:t>1.4 OBJECTIVES</w:t>
      </w:r>
    </w:p>
    <w:p>
      <w:pPr>
        <w:pStyle w:val="ListParagraph"/>
        <w:spacing w:line="276" w:lineRule="auto" w:after="80"/>
        <w:ind w:left="360"/>
        <w:jc w:val="both"/>
      </w:pPr>
      <w:r>
        <w:rPr>
          <w:rFonts w:ascii="Times New Roman" w:hAnsi="Times New Roman"/>
          <w:sz w:val="21"/>
        </w:rPr>
        <w:t>•  Design and implement a responsive, web-based single-page application supporting user authentication, interactive resume building, ATS analysis, and candidate-job alignment visualization.</w:t>
      </w:r>
    </w:p>
    <w:p>
      <w:pPr>
        <w:pStyle w:val="ListParagraph"/>
        <w:spacing w:line="276" w:lineRule="auto" w:after="80"/>
        <w:ind w:left="360"/>
        <w:jc w:val="both"/>
      </w:pPr>
      <w:r>
        <w:rPr>
          <w:rFonts w:ascii="Times New Roman" w:hAnsi="Times New Roman"/>
          <w:sz w:val="21"/>
        </w:rPr>
        <w:t>•  Develop a robust multi-format document parser capable of extracting structured JSON data, contact details, work experience, education history, and technical skill matrices from PDF and DOCX uploads.</w:t>
      </w:r>
    </w:p>
    <w:p>
      <w:pPr>
        <w:pStyle w:val="ListParagraph"/>
        <w:spacing w:line="276" w:lineRule="auto" w:after="80"/>
        <w:ind w:left="360"/>
        <w:jc w:val="both"/>
      </w:pPr>
      <w:r>
        <w:rPr>
          <w:rFonts w:ascii="Times New Roman" w:hAnsi="Times New Roman"/>
          <w:sz w:val="21"/>
        </w:rPr>
        <w:t>•  Construct a dual-engine analysis framework combining TF-IDF lexical matching and dense vector embeddings to evaluate keyword density and semantic alignment accurately.</w:t>
      </w:r>
    </w:p>
    <w:p>
      <w:pPr>
        <w:pStyle w:val="ListParagraph"/>
        <w:spacing w:line="276" w:lineRule="auto" w:after="80"/>
        <w:ind w:left="360"/>
        <w:jc w:val="both"/>
      </w:pPr>
      <w:r>
        <w:rPr>
          <w:rFonts w:ascii="Times New Roman" w:hAnsi="Times New Roman"/>
          <w:sz w:val="21"/>
        </w:rPr>
        <w:t>•  Implement an automated smart suggestion engine that identifies missing technical keywords, passive voice phrasing, and weak action verbs, providing real-time contextual recommendations.</w:t>
      </w:r>
    </w:p>
    <w:p>
      <w:pPr>
        <w:pStyle w:val="ListParagraph"/>
        <w:spacing w:line="276" w:lineRule="auto" w:after="80"/>
        <w:ind w:left="360"/>
        <w:jc w:val="both"/>
      </w:pPr>
      <w:r>
        <w:rPr>
          <w:rFonts w:ascii="Times New Roman" w:hAnsi="Times New Roman"/>
          <w:sz w:val="21"/>
        </w:rPr>
        <w:t>•  Build a job description matching module that extracts key requirements from target job postings and visualizes multi-axis alignment using radar telemetry charts.</w:t>
      </w:r>
    </w:p>
    <w:p>
      <w:pPr>
        <w:pStyle w:val="ListParagraph"/>
        <w:spacing w:line="276" w:lineRule="auto" w:after="80"/>
        <w:ind w:left="360"/>
        <w:jc w:val="both"/>
      </w:pPr>
      <w:r>
        <w:rPr>
          <w:rFonts w:ascii="Times New Roman" w:hAnsi="Times New Roman"/>
          <w:sz w:val="21"/>
        </w:rPr>
        <w:t>•  Evaluate overall platform performance across 150 diverse resume samples, measuring parsing precision, ATS score correlation, and backend processing latency under realistic deployment scenarios.</w:t>
      </w:r>
    </w:p>
    <w:p>
      <w:pPr>
        <w:keepNext/>
        <w:spacing w:before="280" w:after="120"/>
        <w:jc w:val="left"/>
      </w:pPr>
      <w:r>
        <w:rPr>
          <w:rFonts w:ascii="Times New Roman" w:hAnsi="Times New Roman"/>
          <w:b/>
          <w:sz w:val="24"/>
        </w:rPr>
        <w:t>2. LITERATURE REVIEW</w:t>
      </w:r>
    </w:p>
    <w:p>
      <w:pPr>
        <w:spacing w:line="276" w:lineRule="auto" w:after="120"/>
        <w:jc w:val="both"/>
      </w:pPr>
      <w:r>
        <w:rPr>
          <w:rFonts w:ascii="Times New Roman" w:hAnsi="Times New Roman"/>
          <w:sz w:val="21"/>
        </w:rPr>
        <w:t>Automated document analysis and candidate-job matching have evolved significantly over the past two decades. Early text extraction systems relied on regular expressions and fixed dictionary lookup tables to isolate contact details and technical skill strings [4]. While computationally lightweight, these rigid rule-based pipelines failed when encountering non-standard section titles, multi-column page layouts, or varied industry jargon. Roy et al. [7] demonstrated that keyword-based ATS filters exhibit rejection rates exceeding 70% for qualified candidates due to syntactic variances, such as failing to recognize 'ML' as an equivalent synonym for 'Machine Learning'.</w:t>
      </w:r>
    </w:p>
    <w:p>
      <w:pPr>
        <w:spacing w:line="276" w:lineRule="auto" w:after="120"/>
        <w:jc w:val="both"/>
      </w:pPr>
      <w:r>
        <w:rPr>
          <w:rFonts w:ascii="Times New Roman" w:hAnsi="Times New Roman"/>
          <w:sz w:val="21"/>
        </w:rPr>
        <w:t>The adoption of statistical language models marked a foundational shift in document processing. Salton and Buckley [4] established the mathematical mechanics of Term Frequency-Inverse Document Frequency (TF-IDF), providing a robust methodology to weigh word importance across document collections. TF-IDF remains widely used in document classification due to its speed and deterministic execution. However, TF-IDF treats words as independent tokens, lacking the capacity to capture semantic relationships between distinct vocabulary terms. To address vocabulary mismatches, Mikolov et al. [3] introduced Word2Vec, proving that continuous vector spaces capture continuous semantic relationships. Pennington et al. [14] extended this with GloVe, capturing global co-occurrence statistics across large textual corpora.</w:t>
      </w:r>
    </w:p>
    <w:p>
      <w:pPr>
        <w:spacing w:line="276" w:lineRule="auto" w:after="120"/>
        <w:jc w:val="both"/>
      </w:pPr>
      <w:r>
        <w:rPr>
          <w:rFonts w:ascii="Times New Roman" w:hAnsi="Times New Roman"/>
          <w:sz w:val="21"/>
        </w:rPr>
        <w:t>The introduction of Transformer architectures transformed natural language processing. Vaswani et al. [9] proposed the self-attention mechanism, allowing models to weigh tokens dynamically based on full sentence context rather than fixed local windows. Building on this, Devlin et al. [1] presented BERT (Bidirectional Encoder Representations from Transformers), setting new performance standards across natural language understanding benchmarks. Reimers and Gurevych [2] subsequently introduced Sentence-BERT (SBERT), fine-tuning transformer networks to generate semantically meaningful sentence embeddings that can be efficiently compared using cosine distance. Sanyal et al. [8] applied sentence transformers to recruitment automation, proving that vector similarity significantly outperforms keyword matching when evaluating candidate-job fit.</w:t>
      </w:r>
    </w:p>
    <w:p>
      <w:pPr>
        <w:spacing w:line="276" w:lineRule="auto" w:after="120"/>
        <w:jc w:val="both"/>
      </w:pPr>
      <w:r>
        <w:rPr>
          <w:rFonts w:ascii="Times New Roman" w:hAnsi="Times New Roman"/>
          <w:sz w:val="21"/>
        </w:rPr>
        <w:t>Information extraction from unstructured resumes requires specialized Named Entity Recognition (NER). Lample et al. [5] demonstrated that hybrid neural models combining BiLSTM architectures with Conditional Random Fields (CRF) effectively extract domain entities from semi-structured text. In resume parsing, NER models identify entity categories such as job titles, skill names, degree qualifications, and temporal dates. Manning et al. [12] detailed the Stanford CoreNLP toolkit, establishing standardized approaches for tokenization, part-of-speech tagging, and lemmatization essential for text pre-processing. Recent work by Blei et al. [6] on Latent Dirichlet Allocation (LDA) further illustrates how unsupervised topic modeling can categorize skill clusters across candidate profiles.</w:t>
      </w:r>
    </w:p>
    <w:p>
      <w:pPr>
        <w:spacing w:line="276" w:lineRule="auto" w:after="120"/>
        <w:jc w:val="both"/>
      </w:pPr>
      <w:r>
        <w:rPr>
          <w:rFonts w:ascii="Times New Roman" w:hAnsi="Times New Roman"/>
          <w:sz w:val="21"/>
        </w:rPr>
        <w:t>A crucial requirement in modern automated evaluation platforms is model explainability. Black-box predictions often encounter user skepticism and regulatory scrutiny. Lundberg and Lee [10] unified feature attribution methods under SHAP (SHapley Additive exPlanations), providing mathematical guarantees for local feature importance based on cooperative game theory. In candidate screening, explaining why an ATS score was assigned—such as identifying specific missing skill tokens or structural formatting penalties—builds user trust and provides actionable guidance [10]. Furthermore, handling imbalanced skill distributions across specialized industries requires robust sampling and optimization strategies, as explored by Chawla et al. [13] in synthetic oversampling (SMOTE) and Chen &amp; Guestrin [15] in XGBoost gradient boosting frameworks.</w:t>
      </w:r>
    </w:p>
    <w:p>
      <w:pPr>
        <w:spacing w:line="276" w:lineRule="auto" w:after="120"/>
        <w:jc w:val="both"/>
      </w:pPr>
      <w:r>
        <w:rPr>
          <w:rFonts w:ascii="Times New Roman" w:hAnsi="Times New Roman"/>
          <w:sz w:val="21"/>
        </w:rPr>
        <w:t>Recent research in recruitment technology highlights the necessity of combining structural parsing with contextual semantic understanding. Guo and Berkhahn [11] showed that entity embeddings of categorical variables significantly improve classification accuracy in tabular candidate datasets. Integrating categorical entity embeddings with dense text representations allows ATS platforms to evaluate both structured metadata (such as years of experience and education level) and unstructured text narratives (such as project accomplishments and bullet points). The framework developed in this thesis builds upon these insights, establishing a unified analysis engine that bridges lexical matching, semantic embeddings, and structural verification.</w:t>
      </w:r>
    </w:p>
    <w:p>
      <w:pPr>
        <w:keepNext/>
        <w:spacing w:before="200" w:after="80"/>
        <w:jc w:val="both"/>
      </w:pPr>
      <w:r>
        <w:rPr>
          <w:rFonts w:ascii="Times New Roman" w:hAnsi="Times New Roman"/>
          <w:b/>
          <w:sz w:val="21"/>
        </w:rPr>
        <w:t>2.1 Comparative Analysis of Resume Parsing Paradigms</w:t>
      </w:r>
    </w:p>
    <w:p>
      <w:pPr>
        <w:spacing w:line="276" w:lineRule="auto" w:after="120"/>
        <w:jc w:val="both"/>
      </w:pPr>
      <w:r>
        <w:rPr>
          <w:rFonts w:ascii="Times New Roman" w:hAnsi="Times New Roman"/>
          <w:sz w:val="21"/>
        </w:rPr>
        <w:t>Existing literature categorizes resume parsing techniques into three distinct paradigms: Rule-Based Pattern Matching, Statistical Sequence Tagging, and Transformer-Based Dense Encoding. Rule-based matchers achieve high execution speed (&gt;1,000 documents per minute) but exhibit poor adaptability when handling unexpected section titles or international resume layouts. Statistical models like Conditional Random Fields (CRF) improve handling of structural variation but require extensive manually annotated training corpora. Transformer-based dense encoders achieve state-of-the-art semantic extraction accuracy (&gt;95% F1-score) but introduce computational complexity. The system designed in this work combines rule-based document layout normalization with transformer sentence embeddings, balancing parsing speed and semantic depth.</w:t>
      </w:r>
    </w:p>
    <w:p>
      <w:pPr>
        <w:keepNext/>
        <w:spacing w:before="200" w:after="80"/>
        <w:jc w:val="both"/>
      </w:pPr>
      <w:r>
        <w:rPr>
          <w:rFonts w:ascii="Times New Roman" w:hAnsi="Times New Roman"/>
          <w:b/>
          <w:sz w:val="21"/>
        </w:rPr>
        <w:t>2.2 Gaps in Current Commercial Resume Optimization Software</w:t>
      </w:r>
    </w:p>
    <w:p>
      <w:pPr>
        <w:spacing w:line="276" w:lineRule="auto" w:after="120"/>
        <w:jc w:val="both"/>
      </w:pPr>
      <w:r>
        <w:rPr>
          <w:rFonts w:ascii="Times New Roman" w:hAnsi="Times New Roman"/>
          <w:sz w:val="21"/>
        </w:rPr>
        <w:t>Despite the prevalence of commercial resume optimization websites, significant functional gaps remain in existing tools. First, cloud-dependent platforms require job seekers to upload unencrypted personal information to third-party web servers, exposing sensitive contact details and career histories to data breach risks. Second, many commercial services rely on static keyword matching rules, penalizing candidates for using valid industry synonyms. Third, existing tools rarely provide quantifiable bullet point rephrasing suggestions, leaving users uncertain about how to fix weak experience descriptions. Table II summarizes the functional limitations of existing approaches compared to the proposed architecture.</w:t>
      </w:r>
    </w:p>
    <w:p>
      <w:pPr>
        <w:keepNext/>
        <w:spacing w:before="280" w:after="120"/>
        <w:jc w:val="left"/>
      </w:pPr>
      <w:r>
        <w:rPr>
          <w:rFonts w:ascii="Times New Roman" w:hAnsi="Times New Roman"/>
          <w:b/>
          <w:sz w:val="24"/>
        </w:rPr>
        <w:t>3. PROPOSED WORK</w:t>
      </w:r>
    </w:p>
    <w:p>
      <w:pPr>
        <w:spacing w:line="276" w:lineRule="auto" w:after="120"/>
        <w:jc w:val="both"/>
      </w:pPr>
      <w:r>
        <w:rPr>
          <w:rFonts w:ascii="Times New Roman" w:hAnsi="Times New Roman"/>
          <w:sz w:val="21"/>
        </w:rPr>
        <w:t>The proposed AI-Powered Resume Builder and ATS Optimization Platform is designed as a modular, three-tier software architecture. The system decouples frontend presentation, backend API orchestration, and core NLP analytics to ensure maintainability, scalability, and sub-second response times. Figure 1 illustrates the overall architectural flow, tracking candidate interaction from document upload through ATS score calculation and smart suggestion rendering.</w:t>
      </w:r>
    </w:p>
    <w:p>
      <w:pPr>
        <w:spacing w:before="200" w:after="8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I_Resume_Builder.png"/>
                    <pic:cNvPicPr/>
                  </pic:nvPicPr>
                  <pic:blipFill>
                    <a:blip r:embed="rId9"/>
                    <a:stretch>
                      <a:fillRect/>
                    </a:stretch>
                  </pic:blipFill>
                  <pic:spPr>
                    <a:xfrm>
                      <a:off x="0" y="0"/>
                      <a:ext cx="5303520" cy="3535680"/>
                    </a:xfrm>
                    <a:prstGeom prst="rect"/>
                  </pic:spPr>
                </pic:pic>
              </a:graphicData>
            </a:graphic>
          </wp:inline>
        </w:drawing>
      </w:r>
    </w:p>
    <w:p>
      <w:pPr>
        <w:spacing w:before="80" w:after="240"/>
        <w:jc w:val="center"/>
      </w:pPr>
      <w:r>
        <w:rPr>
          <w:rFonts w:ascii="Times New Roman" w:hAnsi="Times New Roman"/>
          <w:b/>
          <w:sz w:val="19"/>
        </w:rPr>
        <w:t xml:space="preserve">Fig. </w:t>
      </w:r>
      <w:r>
        <w:rPr>
          <w:rFonts w:ascii="Times New Roman" w:hAnsi="Times New Roman"/>
          <w:sz w:val="19"/>
        </w:rPr>
        <w:t>1. System architecture and operational data flow of the AI-Powered Resume Builder and ATS Optimization Platform.</w:t>
      </w:r>
    </w:p>
    <w:p>
      <w:pPr>
        <w:keepNext/>
        <w:spacing w:before="200" w:after="80"/>
        <w:jc w:val="both"/>
      </w:pPr>
      <w:r>
        <w:rPr>
          <w:rFonts w:ascii="Times New Roman" w:hAnsi="Times New Roman"/>
          <w:b/>
          <w:sz w:val="21"/>
        </w:rPr>
        <w:t>3.1 Presentation Layer Architecture</w:t>
      </w:r>
    </w:p>
    <w:p>
      <w:pPr>
        <w:spacing w:before="80" w:after="120"/>
      </w:pPr>
      <w:r>
        <w:rPr>
          <w:rFonts w:ascii="Times New Roman" w:hAnsi="Times New Roman"/>
          <w:sz w:val="24"/>
        </w:rPr>
        <w:t>The presentation layer features a zero-scroll responsive web viewport designed around a step-by-step navigation architecture (as illustrated in Fig. 2). User authentication and session management provide secure role-based access for job seekers and resume auditors.</w:t>
      </w:r>
    </w:p>
    <w:p>
      <w:pPr>
        <w:spacing w:before="16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creenshot 2026-09-21 170528.png"/>
                    <pic:cNvPicPr/>
                  </pic:nvPicPr>
                  <pic:blipFill>
                    <a:blip r:embed="rId10"/>
                    <a:stretch>
                      <a:fillRect/>
                    </a:stretch>
                  </pic:blipFill>
                  <pic:spPr>
                    <a:xfrm>
                      <a:off x="0" y="0"/>
                      <a:ext cx="5486400" cy="3086100"/>
                    </a:xfrm>
                    <a:prstGeom prst="rect"/>
                  </pic:spPr>
                </pic:pic>
              </a:graphicData>
            </a:graphic>
          </wp:inline>
        </w:drawing>
      </w:r>
    </w:p>
    <w:p>
      <w:pPr>
        <w:spacing w:before="80" w:after="240"/>
        <w:jc w:val="center"/>
      </w:pPr>
      <w:r>
        <w:rPr>
          <w:rFonts w:ascii="Times New Roman" w:hAnsi="Times New Roman"/>
          <w:b/>
          <w:i w:val="0"/>
          <w:sz w:val="19"/>
        </w:rPr>
        <w:t>Fig. 2. User authentication and access control portal of the AI Resume platform.</w:t>
      </w:r>
    </w:p>
    <w:p>
      <w:pPr>
        <w:spacing w:line="276" w:lineRule="auto" w:after="120"/>
        <w:jc w:val="both"/>
      </w:pPr>
      <w:r>
        <w:rPr>
          <w:rFonts w:ascii="Times New Roman" w:hAnsi="Times New Roman"/>
          <w:sz w:val="21"/>
        </w:rPr>
        <w:t>The presentation layer is implemented using React 18 and Vite, delivering a responsive single-page application (SPA). The frontend manages user authentication states, interactive resume form building, drag-and-drop document uploads, and real-time visualization dashboards. Built with modular component architecture, the presentation layer includes four primary view modules:</w:t>
      </w:r>
    </w:p>
    <w:p>
      <w:pPr>
        <w:pStyle w:val="ListParagraph"/>
        <w:spacing w:line="276" w:lineRule="auto" w:after="80"/>
        <w:ind w:left="360"/>
        <w:jc w:val="both"/>
      </w:pPr>
      <w:r>
        <w:rPr>
          <w:rFonts w:ascii="Times New Roman" w:hAnsi="Times New Roman"/>
          <w:sz w:val="21"/>
        </w:rPr>
        <w:t>•  Interactive Resume Builder Interface: A dynamic form suite allowing candidates to manually enter personal details, work experience, education, projects, and technical skills with drag-and-drop section reordering.</w:t>
      </w:r>
    </w:p>
    <w:p>
      <w:pPr>
        <w:pStyle w:val="ListParagraph"/>
        <w:spacing w:line="276" w:lineRule="auto" w:after="80"/>
        <w:ind w:left="360"/>
        <w:jc w:val="both"/>
      </w:pPr>
      <w:r>
        <w:rPr>
          <w:rFonts w:ascii="Times New Roman" w:hAnsi="Times New Roman"/>
          <w:sz w:val="21"/>
        </w:rPr>
        <w:t>•  ATS Diagnostic Workbench: A visual analysis dashboard displaying overall ATS scores, keyword match percentages, word count metrics, readability indexes, and missing skill lists.</w:t>
      </w:r>
    </w:p>
    <w:p>
      <w:pPr>
        <w:pStyle w:val="ListParagraph"/>
        <w:spacing w:line="276" w:lineRule="auto" w:after="80"/>
        <w:ind w:left="360"/>
        <w:jc w:val="both"/>
      </w:pPr>
      <w:r>
        <w:rPr>
          <w:rFonts w:ascii="Times New Roman" w:hAnsi="Times New Roman"/>
          <w:sz w:val="21"/>
        </w:rPr>
        <w:t>•  Smart Suggestion Sidebar: A context-aware feedback panel that highlights weak bullet points, identifies passive voice constructions, and recommends strong action verbs.</w:t>
      </w:r>
    </w:p>
    <w:p>
      <w:pPr>
        <w:pStyle w:val="ListParagraph"/>
        <w:spacing w:line="276" w:lineRule="auto" w:after="80"/>
        <w:ind w:left="360"/>
        <w:jc w:val="both"/>
      </w:pPr>
      <w:r>
        <w:rPr>
          <w:rFonts w:ascii="Times New Roman" w:hAnsi="Times New Roman"/>
          <w:sz w:val="21"/>
        </w:rPr>
        <w:t>•  Job Match Explorer: A comparative diagnostic tool allowing candidates to paste a target job description and evaluate side-by-side alignment using multi-axis radar charts and progress breakdown bars.</w:t>
      </w:r>
    </w:p>
    <w:p>
      <w:pPr>
        <w:keepNext/>
        <w:spacing w:before="200" w:after="80"/>
        <w:jc w:val="both"/>
      </w:pPr>
      <w:r>
        <w:rPr>
          <w:rFonts w:ascii="Times New Roman" w:hAnsi="Times New Roman"/>
          <w:b/>
          <w:sz w:val="21"/>
        </w:rPr>
        <w:t>3.2 Application Layer and API Orchestration</w:t>
      </w:r>
    </w:p>
    <w:p>
      <w:pPr>
        <w:spacing w:line="276" w:lineRule="auto" w:after="120"/>
        <w:jc w:val="both"/>
      </w:pPr>
      <w:r>
        <w:rPr>
          <w:rFonts w:ascii="Times New Roman" w:hAnsi="Times New Roman"/>
          <w:sz w:val="21"/>
        </w:rPr>
        <w:t>The application layer operates as a FastAPI REST server in Python. It provides high-throughput asynchronous endpoints handling document parsing, text extraction, analysis execution, and account management. The API enforces strict schema validation using Pydantic models, ensuring incoming payload data is sanitized before reaching the analytics pipeline. SQLite is integrated as the primary persistent data store, tracking user profiles, saved resumes, job descriptions, and historical ATS evaluation records.</w:t>
      </w:r>
    </w:p>
    <w:p>
      <w:pPr>
        <w:keepNext/>
        <w:spacing w:before="200" w:after="80"/>
        <w:jc w:val="both"/>
      </w:pPr>
      <w:r>
        <w:rPr>
          <w:rFonts w:ascii="Times New Roman" w:hAnsi="Times New Roman"/>
          <w:b/>
          <w:sz w:val="21"/>
        </w:rPr>
        <w:t>3.3 NLP Engine and Composite Scoring</w:t>
      </w:r>
    </w:p>
    <w:p>
      <w:pPr>
        <w:spacing w:before="80" w:after="120"/>
      </w:pPr>
      <w:r>
        <w:rPr>
          <w:rFonts w:ascii="Times New Roman" w:hAnsi="Times New Roman"/>
          <w:sz w:val="24"/>
        </w:rPr>
        <w:t>The multi-dimensional quality engine renders comprehensive ATS score metrics and candidate feedback across content, formatting, and keyword density dimensions (Fig. 4).</w:t>
      </w:r>
    </w:p>
    <w:p>
      <w:pPr>
        <w:spacing w:before="16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creenshot 2026-09-21 170838.png"/>
                    <pic:cNvPicPr/>
                  </pic:nvPicPr>
                  <pic:blipFill>
                    <a:blip r:embed="rId12"/>
                    <a:stretch>
                      <a:fillRect/>
                    </a:stretch>
                  </pic:blipFill>
                  <pic:spPr>
                    <a:xfrm>
                      <a:off x="0" y="0"/>
                      <a:ext cx="5486400" cy="3086100"/>
                    </a:xfrm>
                    <a:prstGeom prst="rect"/>
                  </pic:spPr>
                </pic:pic>
              </a:graphicData>
            </a:graphic>
          </wp:inline>
        </w:drawing>
      </w:r>
    </w:p>
    <w:p>
      <w:pPr>
        <w:spacing w:before="80" w:after="240"/>
        <w:jc w:val="center"/>
      </w:pPr>
      <w:r>
        <w:rPr>
          <w:rFonts w:ascii="Times New Roman" w:hAnsi="Times New Roman"/>
          <w:b/>
          <w:i w:val="0"/>
          <w:sz w:val="19"/>
        </w:rPr>
        <w:t>Fig. 4. Master ATS quality audit engine displaying multi-dimensional candidate scoring.</w:t>
      </w:r>
    </w:p>
    <w:p>
      <w:pPr>
        <w:spacing w:line="276" w:lineRule="auto" w:after="120"/>
        <w:jc w:val="both"/>
      </w:pPr>
      <w:r>
        <w:rPr>
          <w:rFonts w:ascii="Times New Roman" w:hAnsi="Times New Roman"/>
          <w:sz w:val="21"/>
        </w:rPr>
        <w:t>The core analysis engine executes a multi-stage NLP pipeline upon receiving a resume document or text payload. The engine combines rule-based text processing with statistical lexical matching and dense vector embeddings:</w:t>
      </w:r>
    </w:p>
    <w:p>
      <w:pPr>
        <w:spacing w:line="276" w:lineRule="auto" w:after="120"/>
        <w:jc w:val="both"/>
      </w:pPr>
      <w:r>
        <w:rPr>
          <w:rFonts w:ascii="Times New Roman" w:hAnsi="Times New Roman"/>
          <w:b/>
          <w:sz w:val="21"/>
        </w:rPr>
        <w:t xml:space="preserve">Parsing: </w:t>
      </w:r>
      <w:r>
        <w:rPr>
          <w:rFonts w:ascii="Times New Roman" w:hAnsi="Times New Roman"/>
          <w:sz w:val="21"/>
        </w:rPr>
        <w:t>Document Parsing &amp; Text Normalization. Uploaded PDF and DOCX files are processed using PyPDF2 and python-docx libraries. The parser extracts raw text strings while preserving structural paragraph breaks. Regular expressions isolate email addresses, phone numbers, LinkedIn URLs, and portfolio links.</w:t>
      </w:r>
    </w:p>
    <w:p>
      <w:pPr>
        <w:spacing w:line="276" w:lineRule="auto" w:after="120"/>
        <w:jc w:val="both"/>
      </w:pPr>
      <w:r>
        <w:rPr>
          <w:rFonts w:ascii="Times New Roman" w:hAnsi="Times New Roman"/>
          <w:b/>
          <w:sz w:val="21"/>
        </w:rPr>
        <w:t xml:space="preserve">Segmentation: </w:t>
      </w:r>
      <w:r>
        <w:rPr>
          <w:rFonts w:ascii="Times New Roman" w:hAnsi="Times New Roman"/>
          <w:sz w:val="21"/>
        </w:rPr>
        <w:t>Section Segmentation &amp; NER Skill Isolation. Text is split into logical blocks corresponding to standard resume sections (Summary, Experience, Education, Skills, Projects). A spaCy NER model fine-tuned on tech industry corpora extracts technical skill entities, job titles, and duration metrics.</w:t>
      </w:r>
    </w:p>
    <w:p>
      <w:pPr>
        <w:spacing w:line="276" w:lineRule="auto" w:after="120"/>
        <w:jc w:val="both"/>
      </w:pPr>
      <w:r>
        <w:rPr>
          <w:rFonts w:ascii="Times New Roman" w:hAnsi="Times New Roman"/>
          <w:b/>
          <w:sz w:val="21"/>
        </w:rPr>
        <w:t xml:space="preserve">Lexical Matching: </w:t>
      </w:r>
      <w:r>
        <w:rPr>
          <w:rFonts w:ascii="Times New Roman" w:hAnsi="Times New Roman"/>
          <w:sz w:val="21"/>
        </w:rPr>
        <w:t>TF-IDF Lexical Match Engine. The resume text and candidate job description are tokenized, lemmatized, and converted into TF-IDF vector matrices. Cosine similarity evaluates lexical token overlap using the formula:</w:t>
      </w:r>
    </w:p>
    <w:p>
      <w:pPr>
        <w:spacing w:line="276" w:lineRule="auto" w:after="120"/>
        <w:jc w:val="both"/>
      </w:pPr>
      <w:r>
        <w:rPr>
          <w:rFonts w:ascii="Times New Roman" w:hAnsi="Times New Roman"/>
          <w:b/>
          <w:sz w:val="21"/>
        </w:rPr>
        <w:t xml:space="preserve">Math Formula: </w:t>
      </w:r>
      <w:r>
        <w:rPr>
          <w:rFonts w:ascii="Times New Roman" w:hAnsi="Times New Roman"/>
          <w:sz w:val="21"/>
        </w:rPr>
        <w:t>Similarity(R, J) = (R · J) / (||R|| * ||J||), where R represents the resume TF-IDF vector and J represents the job description vector.</w:t>
      </w:r>
    </w:p>
    <w:p>
      <w:pPr>
        <w:spacing w:line="276" w:lineRule="auto" w:after="120"/>
        <w:jc w:val="both"/>
      </w:pPr>
      <w:r>
        <w:rPr>
          <w:rFonts w:ascii="Times New Roman" w:hAnsi="Times New Roman"/>
          <w:b/>
          <w:sz w:val="21"/>
        </w:rPr>
        <w:t xml:space="preserve">Semantic Embeddings: </w:t>
      </w:r>
      <w:r>
        <w:rPr>
          <w:rFonts w:ascii="Times New Roman" w:hAnsi="Times New Roman"/>
          <w:sz w:val="21"/>
        </w:rPr>
        <w:t>Dense Semantic Embedding Engine. To detect semantic synonyms (e.g., recognizing 'Python scripting' as relevant to 'Software Development'), the system encodes text passages into 384-dimensional dense embeddings using Sentence-Transformers (all-MiniLM-L6-v2). Cosine distance between dense vector representations provides context-aware matching.</w:t>
      </w:r>
    </w:p>
    <w:p>
      <w:pPr>
        <w:spacing w:line="276" w:lineRule="auto" w:after="120"/>
        <w:jc w:val="both"/>
      </w:pPr>
      <w:r>
        <w:rPr>
          <w:rFonts w:ascii="Times New Roman" w:hAnsi="Times New Roman"/>
          <w:b/>
          <w:sz w:val="21"/>
        </w:rPr>
        <w:t xml:space="preserve">Scoring Model: </w:t>
      </w:r>
      <w:r>
        <w:rPr>
          <w:rFonts w:ascii="Times New Roman" w:hAnsi="Times New Roman"/>
          <w:sz w:val="21"/>
        </w:rPr>
        <w:t>Composite ATS Score Calculation. The system computes a final composite ATS score S_ATS on a 0-100 scale using a weighted summation model:</w:t>
      </w:r>
    </w:p>
    <w:p>
      <w:pPr>
        <w:spacing w:line="276" w:lineRule="auto" w:after="120"/>
        <w:jc w:val="both"/>
      </w:pPr>
      <w:r>
        <w:rPr>
          <w:rFonts w:ascii="Times New Roman" w:hAnsi="Times New Roman"/>
          <w:b/>
          <w:sz w:val="21"/>
        </w:rPr>
        <w:t xml:space="preserve">Weight Vectors: </w:t>
      </w:r>
      <w:r>
        <w:rPr>
          <w:rFonts w:ascii="Times New Roman" w:hAnsi="Times New Roman"/>
          <w:sz w:val="21"/>
        </w:rPr>
        <w:t>S_ATS = w1 * S_lexical + w2 * S_semantic + w3 * S_structure + w4 * S_readability, where empirical weights w1=0.35, w2=0.35, w3=0.15, w4=0.15 ensure balanced evaluation across exact keywords, contextual meaning, structural formatting, and text readability.</w:t>
      </w:r>
    </w:p>
    <w:p>
      <w:pPr>
        <w:keepNext/>
        <w:spacing w:before="200" w:after="80"/>
        <w:jc w:val="both"/>
      </w:pPr>
      <w:r>
        <w:rPr>
          <w:rFonts w:ascii="Times New Roman" w:hAnsi="Times New Roman"/>
          <w:b/>
          <w:sz w:val="21"/>
        </w:rPr>
        <w:t>3.4 Mathematical Formulations and Scoring Mechanics</w:t>
      </w:r>
    </w:p>
    <w:p>
      <w:pPr>
        <w:spacing w:line="276" w:lineRule="auto" w:after="120"/>
        <w:jc w:val="both"/>
      </w:pPr>
      <w:r>
        <w:rPr>
          <w:rFonts w:ascii="Times New Roman" w:hAnsi="Times New Roman"/>
          <w:sz w:val="21"/>
        </w:rPr>
        <w:t>The composite ATS score calculation relies on four mathematically defined sub-scores. The lexical match score S_lexical measures exact token overlap weighted by document frequency across a background corpus of 10,000 professional job postings. The mathematical formulation for term frequency-inverse document frequency is expressed as:</w:t>
      </w:r>
    </w:p>
    <w:p>
      <w:pPr>
        <w:spacing w:line="276" w:lineRule="auto" w:after="120"/>
        <w:jc w:val="both"/>
      </w:pPr>
      <w:r>
        <w:rPr>
          <w:rFonts w:ascii="Times New Roman" w:hAnsi="Times New Roman"/>
          <w:sz w:val="21"/>
        </w:rPr>
        <w:t>TF-IDF(t, d, D) = TF(t, d) * log(|D| / |{d in D : t in d}|), where TF(t, d) is the raw count of term t in document d, and |D| is the total number of job descriptions in the reference corpus D.</w:t>
      </w:r>
    </w:p>
    <w:p>
      <w:pPr>
        <w:spacing w:line="276" w:lineRule="auto" w:after="120"/>
        <w:jc w:val="both"/>
      </w:pPr>
      <w:r>
        <w:rPr>
          <w:rFonts w:ascii="Times New Roman" w:hAnsi="Times New Roman"/>
          <w:sz w:val="21"/>
        </w:rPr>
        <w:t>The dense semantic similarity score S_semantic is computed by passing the candidate's experience summary text and the target job responsibilities through the Sentence-BERT encoder. Let e_R = SBERT(Text_Resume) and e_J = SBERT(Text_Job) represent the 384-dimensional embedding vectors. The semantic similarity is defined as the cosine angle:</w:t>
      </w:r>
    </w:p>
    <w:p>
      <w:pPr>
        <w:spacing w:line="276" w:lineRule="auto" w:after="120"/>
        <w:jc w:val="both"/>
      </w:pPr>
      <w:r>
        <w:rPr>
          <w:rFonts w:ascii="Times New Roman" w:hAnsi="Times New Roman"/>
          <w:sz w:val="21"/>
        </w:rPr>
        <w:t>S_semantic = max(0, (e_R · e_J) / (||e_R||_2 * ||e_J||_2)) * 100. This formulation produces a score between 0 and 100 that remains resilient against vocabulary variations.</w:t>
      </w:r>
    </w:p>
    <w:p>
      <w:pPr>
        <w:keepNext/>
        <w:spacing w:before="200" w:after="80"/>
        <w:jc w:val="both"/>
      </w:pPr>
      <w:r>
        <w:rPr>
          <w:rFonts w:ascii="Times New Roman" w:hAnsi="Times New Roman"/>
          <w:b/>
          <w:sz w:val="21"/>
        </w:rPr>
        <w:t>3.5 Telemetry and Diagnostics Specs</w:t>
      </w:r>
    </w:p>
    <w:p>
      <w:pPr>
        <w:spacing w:line="276" w:lineRule="auto" w:after="120"/>
        <w:jc w:val="both"/>
      </w:pPr>
      <w:r>
        <w:rPr>
          <w:rFonts w:ascii="Times New Roman" w:hAnsi="Times New Roman"/>
          <w:sz w:val="21"/>
        </w:rPr>
        <w:t>Every evaluation run generates detailed diagnostic telemetry logs. The system records processing stage durations, token counts, extracted entity vectors, and score breakdowns. This data is rendered in the UI via diagnostic breakdown tables, allowing job seekers to trace exactly how formatting choices and keyword selections impact their overall evaluation.</w:t>
      </w:r>
    </w:p>
    <w:p>
      <w:pPr>
        <w:spacing w:before="240" w:after="60"/>
        <w:jc w:val="center"/>
      </w:pPr>
      <w:r>
        <w:rPr>
          <w:rFonts w:ascii="Times New Roman" w:hAnsi="Times New Roman"/>
          <w:b/>
          <w:sz w:val="20"/>
        </w:rPr>
        <w:t>TABLE I</w:t>
      </w:r>
    </w:p>
    <w:p>
      <w:pPr>
        <w:spacing w:before="40" w:after="120"/>
        <w:jc w:val="center"/>
      </w:pPr>
      <w:r>
        <w:rPr>
          <w:rFonts w:ascii="Times New Roman" w:hAnsi="Times New Roman"/>
          <w:b/>
          <w:sz w:val="21"/>
        </w:rPr>
        <w:t>SYSTEM COMPONENTS AND TECHNICAL SPECIFICATIONS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vAlign w:val="center"/>
            <w:shd w:fill="F2F4F7"/>
          </w:tcPr>
          <w:p>
            <w:pPr>
              <w:spacing w:before="80" w:after="80"/>
              <w:jc w:val="center"/>
            </w:pPr>
            <w:r>
              <w:rPr>
                <w:rFonts w:ascii="Times New Roman" w:hAnsi="Times New Roman"/>
                <w:b/>
                <w:sz w:val="19"/>
              </w:rPr>
              <w:t>Component Module</w:t>
            </w:r>
          </w:p>
        </w:tc>
        <w:tc>
          <w:tcPr>
            <w:tcW w:type="dxa" w:w="2340"/>
            <w:vAlign w:val="center"/>
            <w:shd w:fill="F2F4F7"/>
          </w:tcPr>
          <w:p>
            <w:pPr>
              <w:spacing w:before="80" w:after="80"/>
              <w:jc w:val="center"/>
            </w:pPr>
            <w:r>
              <w:rPr>
                <w:rFonts w:ascii="Times New Roman" w:hAnsi="Times New Roman"/>
                <w:b/>
                <w:sz w:val="19"/>
              </w:rPr>
              <w:t>Technology / Framework</w:t>
            </w:r>
          </w:p>
        </w:tc>
        <w:tc>
          <w:tcPr>
            <w:tcW w:type="dxa" w:w="2340"/>
            <w:vAlign w:val="center"/>
            <w:shd w:fill="F2F4F7"/>
          </w:tcPr>
          <w:p>
            <w:pPr>
              <w:spacing w:before="80" w:after="80"/>
              <w:jc w:val="center"/>
            </w:pPr>
            <w:r>
              <w:rPr>
                <w:rFonts w:ascii="Times New Roman" w:hAnsi="Times New Roman"/>
                <w:b/>
                <w:sz w:val="19"/>
              </w:rPr>
              <w:t>Target Functionality</w:t>
            </w:r>
          </w:p>
        </w:tc>
        <w:tc>
          <w:tcPr>
            <w:tcW w:type="dxa" w:w="2340"/>
            <w:vAlign w:val="center"/>
            <w:shd w:fill="F2F4F7"/>
          </w:tcPr>
          <w:p>
            <w:pPr>
              <w:spacing w:before="80" w:after="80"/>
              <w:jc w:val="center"/>
            </w:pPr>
            <w:r>
              <w:rPr>
                <w:rFonts w:ascii="Times New Roman" w:hAnsi="Times New Roman"/>
                <w:b/>
                <w:sz w:val="19"/>
              </w:rPr>
              <w:t>Execution Latency</w:t>
            </w:r>
          </w:p>
        </w:tc>
      </w:tr>
      <w:tr>
        <w:trPr>
          <w:cantSplit/>
        </w:trPr>
        <w:tc>
          <w:tcPr>
            <w:tcW w:type="dxa" w:w="2340"/>
            <w:vAlign w:val="center"/>
            <w:shd w:fill="FFFFFF"/>
          </w:tcPr>
          <w:p>
            <w:pPr>
              <w:spacing w:before="60" w:after="60" w:line="276" w:lineRule="auto"/>
              <w:jc w:val="left"/>
            </w:pPr>
            <w:r>
              <w:rPr>
                <w:rFonts w:ascii="Times New Roman" w:hAnsi="Times New Roman"/>
                <w:sz w:val="19"/>
              </w:rPr>
              <w:t>Frontend UI</w:t>
            </w:r>
          </w:p>
        </w:tc>
        <w:tc>
          <w:tcPr>
            <w:tcW w:type="dxa" w:w="2340"/>
            <w:vAlign w:val="center"/>
            <w:shd w:fill="FFFFFF"/>
          </w:tcPr>
          <w:p>
            <w:pPr>
              <w:spacing w:before="60" w:after="60" w:line="276" w:lineRule="auto"/>
              <w:jc w:val="center"/>
            </w:pPr>
            <w:r>
              <w:rPr>
                <w:rFonts w:ascii="Times New Roman" w:hAnsi="Times New Roman"/>
                <w:sz w:val="19"/>
              </w:rPr>
              <w:t>React 18 / Vite</w:t>
            </w:r>
          </w:p>
        </w:tc>
        <w:tc>
          <w:tcPr>
            <w:tcW w:type="dxa" w:w="2340"/>
            <w:vAlign w:val="center"/>
            <w:shd w:fill="FFFFFF"/>
          </w:tcPr>
          <w:p>
            <w:pPr>
              <w:spacing w:before="60" w:after="60" w:line="276" w:lineRule="auto"/>
              <w:jc w:val="center"/>
            </w:pPr>
            <w:r>
              <w:rPr>
                <w:rFonts w:ascii="Times New Roman" w:hAnsi="Times New Roman"/>
                <w:sz w:val="19"/>
              </w:rPr>
              <w:t>Interactive UI, dashboard charts</w:t>
            </w:r>
          </w:p>
        </w:tc>
        <w:tc>
          <w:tcPr>
            <w:tcW w:type="dxa" w:w="2340"/>
            <w:vAlign w:val="center"/>
            <w:shd w:fill="FFFFFF"/>
          </w:tcPr>
          <w:p>
            <w:pPr>
              <w:spacing w:before="60" w:after="60" w:line="276" w:lineRule="auto"/>
              <w:jc w:val="center"/>
            </w:pPr>
            <w:r>
              <w:rPr>
                <w:rFonts w:ascii="Times New Roman" w:hAnsi="Times New Roman"/>
                <w:sz w:val="19"/>
              </w:rPr>
              <w:t>&lt; 50 ms</w:t>
            </w:r>
          </w:p>
        </w:tc>
      </w:tr>
      <w:tr>
        <w:trPr>
          <w:cantSplit/>
        </w:trPr>
        <w:tc>
          <w:tcPr>
            <w:tcW w:type="dxa" w:w="2340"/>
            <w:vAlign w:val="center"/>
            <w:shd w:fill="FBFBFD"/>
          </w:tcPr>
          <w:p>
            <w:pPr>
              <w:spacing w:before="60" w:after="60" w:line="276" w:lineRule="auto"/>
              <w:jc w:val="left"/>
            </w:pPr>
            <w:r>
              <w:rPr>
                <w:rFonts w:ascii="Times New Roman" w:hAnsi="Times New Roman"/>
                <w:sz w:val="19"/>
              </w:rPr>
              <w:t>API Gateway</w:t>
            </w:r>
          </w:p>
        </w:tc>
        <w:tc>
          <w:tcPr>
            <w:tcW w:type="dxa" w:w="2340"/>
            <w:vAlign w:val="center"/>
            <w:shd w:fill="FBFBFD"/>
          </w:tcPr>
          <w:p>
            <w:pPr>
              <w:spacing w:before="60" w:after="60" w:line="276" w:lineRule="auto"/>
              <w:jc w:val="left"/>
            </w:pPr>
            <w:r>
              <w:rPr>
                <w:rFonts w:ascii="Times New Roman" w:hAnsi="Times New Roman"/>
                <w:sz w:val="19"/>
              </w:rPr>
              <w:t>FastAPI / Uvicorn</w:t>
            </w:r>
          </w:p>
        </w:tc>
        <w:tc>
          <w:tcPr>
            <w:tcW w:type="dxa" w:w="2340"/>
            <w:vAlign w:val="center"/>
            <w:shd w:fill="FBFBFD"/>
          </w:tcPr>
          <w:p>
            <w:pPr>
              <w:spacing w:before="60" w:after="60" w:line="276" w:lineRule="auto"/>
              <w:jc w:val="left"/>
            </w:pPr>
            <w:r>
              <w:rPr>
                <w:rFonts w:ascii="Times New Roman" w:hAnsi="Times New Roman"/>
                <w:sz w:val="19"/>
              </w:rPr>
              <w:t>Async request routing, validation</w:t>
            </w:r>
          </w:p>
        </w:tc>
        <w:tc>
          <w:tcPr>
            <w:tcW w:type="dxa" w:w="2340"/>
            <w:vAlign w:val="center"/>
            <w:shd w:fill="FBFBFD"/>
          </w:tcPr>
          <w:p>
            <w:pPr>
              <w:spacing w:before="60" w:after="60" w:line="276" w:lineRule="auto"/>
              <w:jc w:val="center"/>
            </w:pPr>
            <w:r>
              <w:rPr>
                <w:rFonts w:ascii="Times New Roman" w:hAnsi="Times New Roman"/>
                <w:sz w:val="19"/>
              </w:rPr>
              <w:t>&lt; 15 ms</w:t>
            </w:r>
          </w:p>
        </w:tc>
      </w:tr>
      <w:tr>
        <w:trPr>
          <w:cantSplit/>
        </w:trPr>
        <w:tc>
          <w:tcPr>
            <w:tcW w:type="dxa" w:w="2340"/>
            <w:vAlign w:val="center"/>
            <w:shd w:fill="FFFFFF"/>
          </w:tcPr>
          <w:p>
            <w:pPr>
              <w:spacing w:before="60" w:after="60" w:line="276" w:lineRule="auto"/>
              <w:jc w:val="left"/>
            </w:pPr>
            <w:r>
              <w:rPr>
                <w:rFonts w:ascii="Times New Roman" w:hAnsi="Times New Roman"/>
                <w:sz w:val="19"/>
              </w:rPr>
              <w:t>Document Parser</w:t>
            </w:r>
          </w:p>
        </w:tc>
        <w:tc>
          <w:tcPr>
            <w:tcW w:type="dxa" w:w="2340"/>
            <w:vAlign w:val="center"/>
            <w:shd w:fill="FFFFFF"/>
          </w:tcPr>
          <w:p>
            <w:pPr>
              <w:spacing w:before="60" w:after="60" w:line="276" w:lineRule="auto"/>
              <w:jc w:val="center"/>
            </w:pPr>
            <w:r>
              <w:rPr>
                <w:rFonts w:ascii="Times New Roman" w:hAnsi="Times New Roman"/>
                <w:sz w:val="19"/>
              </w:rPr>
              <w:t>PyPDF2 / python-docx</w:t>
            </w:r>
          </w:p>
        </w:tc>
        <w:tc>
          <w:tcPr>
            <w:tcW w:type="dxa" w:w="2340"/>
            <w:vAlign w:val="center"/>
            <w:shd w:fill="FFFFFF"/>
          </w:tcPr>
          <w:p>
            <w:pPr>
              <w:spacing w:before="60" w:after="60" w:line="276" w:lineRule="auto"/>
              <w:jc w:val="left"/>
            </w:pPr>
            <w:r>
              <w:rPr>
                <w:rFonts w:ascii="Times New Roman" w:hAnsi="Times New Roman"/>
                <w:sz w:val="19"/>
              </w:rPr>
              <w:t>PDF/DOCX raw text extraction</w:t>
            </w:r>
          </w:p>
        </w:tc>
        <w:tc>
          <w:tcPr>
            <w:tcW w:type="dxa" w:w="2340"/>
            <w:vAlign w:val="center"/>
            <w:shd w:fill="FFFFFF"/>
          </w:tcPr>
          <w:p>
            <w:pPr>
              <w:spacing w:before="60" w:after="60" w:line="276" w:lineRule="auto"/>
              <w:jc w:val="center"/>
            </w:pPr>
            <w:r>
              <w:rPr>
                <w:rFonts w:ascii="Times New Roman" w:hAnsi="Times New Roman"/>
                <w:sz w:val="19"/>
              </w:rPr>
              <w:t>120 - 180 ms</w:t>
            </w:r>
          </w:p>
        </w:tc>
      </w:tr>
      <w:tr>
        <w:trPr>
          <w:cantSplit/>
        </w:trPr>
        <w:tc>
          <w:tcPr>
            <w:tcW w:type="dxa" w:w="2340"/>
            <w:vAlign w:val="center"/>
            <w:shd w:fill="FBFBFD"/>
          </w:tcPr>
          <w:p>
            <w:pPr>
              <w:spacing w:before="60" w:after="60" w:line="276" w:lineRule="auto"/>
              <w:jc w:val="left"/>
            </w:pPr>
            <w:r>
              <w:rPr>
                <w:rFonts w:ascii="Times New Roman" w:hAnsi="Times New Roman"/>
                <w:sz w:val="19"/>
              </w:rPr>
              <w:t>NER Skill Extractor</w:t>
            </w:r>
          </w:p>
        </w:tc>
        <w:tc>
          <w:tcPr>
            <w:tcW w:type="dxa" w:w="2340"/>
            <w:vAlign w:val="center"/>
            <w:shd w:fill="FBFBFD"/>
          </w:tcPr>
          <w:p>
            <w:pPr>
              <w:spacing w:before="60" w:after="60" w:line="276" w:lineRule="auto"/>
              <w:jc w:val="center"/>
            </w:pPr>
            <w:r>
              <w:rPr>
                <w:rFonts w:ascii="Times New Roman" w:hAnsi="Times New Roman"/>
                <w:sz w:val="19"/>
              </w:rPr>
              <w:t>spaCy / Custom Patterns</w:t>
            </w:r>
          </w:p>
        </w:tc>
        <w:tc>
          <w:tcPr>
            <w:tcW w:type="dxa" w:w="2340"/>
            <w:vAlign w:val="center"/>
            <w:shd w:fill="FBFBFD"/>
          </w:tcPr>
          <w:p>
            <w:pPr>
              <w:spacing w:before="60" w:after="60" w:line="276" w:lineRule="auto"/>
              <w:jc w:val="left"/>
            </w:pPr>
            <w:r>
              <w:rPr>
                <w:rFonts w:ascii="Times New Roman" w:hAnsi="Times New Roman"/>
                <w:sz w:val="19"/>
              </w:rPr>
              <w:t>Technical skill &amp; entity isolation</w:t>
            </w:r>
          </w:p>
        </w:tc>
        <w:tc>
          <w:tcPr>
            <w:tcW w:type="dxa" w:w="2340"/>
            <w:vAlign w:val="center"/>
            <w:shd w:fill="FBFBFD"/>
          </w:tcPr>
          <w:p>
            <w:pPr>
              <w:spacing w:before="60" w:after="60" w:line="276" w:lineRule="auto"/>
              <w:jc w:val="center"/>
            </w:pPr>
            <w:r>
              <w:rPr>
                <w:rFonts w:ascii="Times New Roman" w:hAnsi="Times New Roman"/>
                <w:sz w:val="19"/>
              </w:rPr>
              <w:t>80 - 110 ms</w:t>
            </w:r>
          </w:p>
        </w:tc>
      </w:tr>
      <w:tr>
        <w:trPr>
          <w:cantSplit/>
        </w:trPr>
        <w:tc>
          <w:tcPr>
            <w:tcW w:type="dxa" w:w="2340"/>
            <w:vAlign w:val="center"/>
            <w:shd w:fill="FFFFFF"/>
          </w:tcPr>
          <w:p>
            <w:pPr>
              <w:spacing w:before="60" w:after="60" w:line="276" w:lineRule="auto"/>
              <w:jc w:val="left"/>
            </w:pPr>
            <w:r>
              <w:rPr>
                <w:rFonts w:ascii="Times New Roman" w:hAnsi="Times New Roman"/>
                <w:sz w:val="19"/>
              </w:rPr>
              <w:t>Vector Embedding Engine</w:t>
            </w:r>
          </w:p>
        </w:tc>
        <w:tc>
          <w:tcPr>
            <w:tcW w:type="dxa" w:w="2340"/>
            <w:vAlign w:val="center"/>
            <w:shd w:fill="FFFFFF"/>
          </w:tcPr>
          <w:p>
            <w:pPr>
              <w:spacing w:before="60" w:after="60" w:line="276" w:lineRule="auto"/>
              <w:jc w:val="center"/>
            </w:pPr>
            <w:r>
              <w:rPr>
                <w:rFonts w:ascii="Times New Roman" w:hAnsi="Times New Roman"/>
                <w:sz w:val="19"/>
              </w:rPr>
              <w:t>Sentence-Transformers</w:t>
            </w:r>
          </w:p>
        </w:tc>
        <w:tc>
          <w:tcPr>
            <w:tcW w:type="dxa" w:w="2340"/>
            <w:vAlign w:val="center"/>
            <w:shd w:fill="FFFFFF"/>
          </w:tcPr>
          <w:p>
            <w:pPr>
              <w:spacing w:before="60" w:after="60" w:line="276" w:lineRule="auto"/>
              <w:jc w:val="center"/>
            </w:pPr>
            <w:r>
              <w:rPr>
                <w:rFonts w:ascii="Times New Roman" w:hAnsi="Times New Roman"/>
                <w:sz w:val="19"/>
              </w:rPr>
              <w:t>384-d dense embedding generation</w:t>
            </w:r>
          </w:p>
        </w:tc>
        <w:tc>
          <w:tcPr>
            <w:tcW w:type="dxa" w:w="2340"/>
            <w:vAlign w:val="center"/>
            <w:shd w:fill="FFFFFF"/>
          </w:tcPr>
          <w:p>
            <w:pPr>
              <w:spacing w:before="60" w:after="60" w:line="276" w:lineRule="auto"/>
              <w:jc w:val="center"/>
            </w:pPr>
            <w:r>
              <w:rPr>
                <w:rFonts w:ascii="Times New Roman" w:hAnsi="Times New Roman"/>
                <w:sz w:val="19"/>
              </w:rPr>
              <w:t>140 - 220 ms</w:t>
            </w:r>
          </w:p>
        </w:tc>
      </w:tr>
      <w:tr>
        <w:trPr>
          <w:cantSplit/>
        </w:trPr>
        <w:tc>
          <w:tcPr>
            <w:tcW w:type="dxa" w:w="2340"/>
            <w:vAlign w:val="center"/>
            <w:shd w:fill="FBFBFD"/>
          </w:tcPr>
          <w:p>
            <w:pPr>
              <w:spacing w:before="60" w:after="60" w:line="276" w:lineRule="auto"/>
              <w:jc w:val="left"/>
            </w:pPr>
            <w:r>
              <w:rPr>
                <w:rFonts w:ascii="Times New Roman" w:hAnsi="Times New Roman"/>
                <w:sz w:val="19"/>
              </w:rPr>
              <w:t>Scoring Pipeline</w:t>
            </w:r>
          </w:p>
        </w:tc>
        <w:tc>
          <w:tcPr>
            <w:tcW w:type="dxa" w:w="2340"/>
            <w:vAlign w:val="center"/>
            <w:shd w:fill="FBFBFD"/>
          </w:tcPr>
          <w:p>
            <w:pPr>
              <w:spacing w:before="60" w:after="60" w:line="276" w:lineRule="auto"/>
              <w:jc w:val="left"/>
            </w:pPr>
            <w:r>
              <w:rPr>
                <w:rFonts w:ascii="Times New Roman" w:hAnsi="Times New Roman"/>
                <w:sz w:val="19"/>
              </w:rPr>
              <w:t>Scikit-Learn / NumPy</w:t>
            </w:r>
          </w:p>
        </w:tc>
        <w:tc>
          <w:tcPr>
            <w:tcW w:type="dxa" w:w="2340"/>
            <w:vAlign w:val="center"/>
            <w:shd w:fill="FBFBFD"/>
          </w:tcPr>
          <w:p>
            <w:pPr>
              <w:spacing w:before="60" w:after="60" w:line="276" w:lineRule="auto"/>
              <w:jc w:val="left"/>
            </w:pPr>
            <w:r>
              <w:rPr>
                <w:rFonts w:ascii="Times New Roman" w:hAnsi="Times New Roman"/>
                <w:sz w:val="19"/>
              </w:rPr>
              <w:t>TF-IDF + Cosine similarity math</w:t>
            </w:r>
          </w:p>
        </w:tc>
        <w:tc>
          <w:tcPr>
            <w:tcW w:type="dxa" w:w="2340"/>
            <w:vAlign w:val="center"/>
            <w:shd w:fill="FBFBFD"/>
          </w:tcPr>
          <w:p>
            <w:pPr>
              <w:spacing w:before="60" w:after="60" w:line="276" w:lineRule="auto"/>
              <w:jc w:val="center"/>
            </w:pPr>
            <w:r>
              <w:rPr>
                <w:rFonts w:ascii="Times New Roman" w:hAnsi="Times New Roman"/>
                <w:sz w:val="19"/>
              </w:rPr>
              <w:t>15 - 30 ms</w:t>
            </w:r>
          </w:p>
        </w:tc>
      </w:tr>
      <w:tr>
        <w:trPr>
          <w:cantSplit/>
        </w:trPr>
        <w:tc>
          <w:tcPr>
            <w:tcW w:type="dxa" w:w="2340"/>
            <w:vAlign w:val="center"/>
            <w:shd w:fill="FFFFFF"/>
          </w:tcPr>
          <w:p>
            <w:pPr>
              <w:spacing w:before="60" w:after="60" w:line="276" w:lineRule="auto"/>
              <w:jc w:val="left"/>
            </w:pPr>
            <w:r>
              <w:rPr>
                <w:rFonts w:ascii="Times New Roman" w:hAnsi="Times New Roman"/>
                <w:sz w:val="19"/>
              </w:rPr>
              <w:t>Database Store</w:t>
            </w:r>
          </w:p>
        </w:tc>
        <w:tc>
          <w:tcPr>
            <w:tcW w:type="dxa" w:w="2340"/>
            <w:vAlign w:val="center"/>
            <w:shd w:fill="FFFFFF"/>
          </w:tcPr>
          <w:p>
            <w:pPr>
              <w:spacing w:before="60" w:after="60" w:line="276" w:lineRule="auto"/>
              <w:jc w:val="center"/>
            </w:pPr>
            <w:r>
              <w:rPr>
                <w:rFonts w:ascii="Times New Roman" w:hAnsi="Times New Roman"/>
                <w:sz w:val="19"/>
              </w:rPr>
              <w:t>SQLite 3 / SQLAlchemy</w:t>
            </w:r>
          </w:p>
        </w:tc>
        <w:tc>
          <w:tcPr>
            <w:tcW w:type="dxa" w:w="2340"/>
            <w:vAlign w:val="center"/>
            <w:shd w:fill="FFFFFF"/>
          </w:tcPr>
          <w:p>
            <w:pPr>
              <w:spacing w:before="60" w:after="60" w:line="276" w:lineRule="auto"/>
              <w:jc w:val="left"/>
            </w:pPr>
            <w:r>
              <w:rPr>
                <w:rFonts w:ascii="Times New Roman" w:hAnsi="Times New Roman"/>
                <w:sz w:val="19"/>
              </w:rPr>
              <w:t>User session &amp; resume persistence</w:t>
            </w:r>
          </w:p>
        </w:tc>
        <w:tc>
          <w:tcPr>
            <w:tcW w:type="dxa" w:w="2340"/>
            <w:vAlign w:val="center"/>
            <w:shd w:fill="FFFFFF"/>
          </w:tcPr>
          <w:p>
            <w:pPr>
              <w:spacing w:before="60" w:after="60" w:line="276" w:lineRule="auto"/>
              <w:jc w:val="center"/>
            </w:pPr>
            <w:r>
              <w:rPr>
                <w:rFonts w:ascii="Times New Roman" w:hAnsi="Times New Roman"/>
                <w:sz w:val="19"/>
              </w:rPr>
              <w:t>&lt; 10 ms</w:t>
            </w:r>
          </w:p>
        </w:tc>
      </w:tr>
    </w:tbl>
    <w:p>
      <w:pPr>
        <w:keepNext/>
        <w:spacing w:before="200" w:after="80"/>
        <w:jc w:val="both"/>
      </w:pPr>
      <w:r>
        <w:rPr>
          <w:rFonts w:ascii="Times New Roman" w:hAnsi="Times New Roman"/>
          <w:b/>
          <w:sz w:val="21"/>
        </w:rPr>
        <w:t>3.6 Database Schema and Persistence Architecture</w:t>
      </w:r>
    </w:p>
    <w:p>
      <w:pPr>
        <w:spacing w:line="276" w:lineRule="auto" w:after="120"/>
        <w:jc w:val="both"/>
      </w:pPr>
      <w:r>
        <w:rPr>
          <w:rFonts w:ascii="Times New Roman" w:hAnsi="Times New Roman"/>
          <w:sz w:val="21"/>
        </w:rPr>
        <w:t>The database tier uses SQLite managed through SQLAlchemy ORM in Python. The schema is organized into four core entities: Users, Resumes, ParsedSkills, and ATSEvaluations. The Resumes entity stores structured JSON payloads representing user profiles, including work experience arrays and education records. The ParsedSkills entity maintains a normalized table of extracted technical skill strings linked to skill categories (e.g., Languages, Frameworks, Cloud Infrastructure). The ATSEvaluations entity stores historical scoring logs, enabling candidates to track their optimization progress over time.</w:t>
      </w:r>
    </w:p>
    <w:p>
      <w:pPr>
        <w:keepNext/>
        <w:spacing w:before="200" w:after="80"/>
        <w:jc w:val="both"/>
      </w:pPr>
      <w:r>
        <w:rPr>
          <w:rFonts w:ascii="Times New Roman" w:hAnsi="Times New Roman"/>
          <w:b/>
          <w:sz w:val="21"/>
        </w:rPr>
        <w:t>3.7 REST API Specifications and Schema Validation</w:t>
      </w:r>
    </w:p>
    <w:p>
      <w:pPr>
        <w:spacing w:line="276" w:lineRule="auto" w:after="120"/>
        <w:jc w:val="both"/>
      </w:pPr>
      <w:r>
        <w:rPr>
          <w:rFonts w:ascii="Times New Roman" w:hAnsi="Times New Roman"/>
          <w:sz w:val="21"/>
        </w:rPr>
        <w:t>The FastAPI backend exposes stateless RESTful endpoints for document processing and real-time analysis. Key API routes include:</w:t>
      </w:r>
    </w:p>
    <w:p>
      <w:pPr>
        <w:pStyle w:val="ListParagraph"/>
        <w:spacing w:line="276" w:lineRule="auto" w:after="80"/>
        <w:ind w:left="360"/>
        <w:jc w:val="both"/>
      </w:pPr>
      <w:r>
        <w:rPr>
          <w:rFonts w:ascii="Times New Roman" w:hAnsi="Times New Roman"/>
          <w:sz w:val="21"/>
        </w:rPr>
        <w:t>•  POST /api/v1/resume/parse: Accepts multipart PDF or DOCX file uploads, returning normalized JSON text structure and extracted entity metadata.</w:t>
      </w:r>
    </w:p>
    <w:p>
      <w:pPr>
        <w:pStyle w:val="ListParagraph"/>
        <w:spacing w:line="276" w:lineRule="auto" w:after="80"/>
        <w:ind w:left="360"/>
        <w:jc w:val="both"/>
      </w:pPr>
      <w:r>
        <w:rPr>
          <w:rFonts w:ascii="Times New Roman" w:hAnsi="Times New Roman"/>
          <w:sz w:val="21"/>
        </w:rPr>
        <w:t>•  POST /api/v1/resume/analyze: Accepts raw resume JSON and job description strings, returning composite ATS scores, missing keywords, and readability metrics.</w:t>
      </w:r>
    </w:p>
    <w:p>
      <w:pPr>
        <w:pStyle w:val="ListParagraph"/>
        <w:spacing w:line="276" w:lineRule="auto" w:after="80"/>
        <w:ind w:left="360"/>
        <w:jc w:val="both"/>
      </w:pPr>
      <w:r>
        <w:rPr>
          <w:rFonts w:ascii="Times New Roman" w:hAnsi="Times New Roman"/>
          <w:sz w:val="21"/>
        </w:rPr>
        <w:t>•  POST /api/v1/resume/optimize-bullet: Accepts an isolated experience bullet point, returning rephrased alternatives incorporating strong action verbs and metric placeholders.</w:t>
      </w:r>
    </w:p>
    <w:p>
      <w:pPr>
        <w:pStyle w:val="ListParagraph"/>
        <w:spacing w:line="276" w:lineRule="auto" w:after="80"/>
        <w:ind w:left="360"/>
        <w:jc w:val="both"/>
      </w:pPr>
      <w:r>
        <w:rPr>
          <w:rFonts w:ascii="Times New Roman" w:hAnsi="Times New Roman"/>
          <w:sz w:val="21"/>
        </w:rPr>
        <w:t>•  GET /api/v1/resume/skills-taxonomy: Returns a hierarchical dictionary of technical skills categorized by industry domain for auto-completion in the UI.</w:t>
      </w:r>
    </w:p>
    <w:p>
      <w:pPr>
        <w:keepNext/>
        <w:spacing w:before="200" w:after="80"/>
        <w:jc w:val="left"/>
      </w:pPr>
      <w:r>
        <w:rPr>
          <w:rFonts w:ascii="Times New Roman" w:hAnsi="Times New Roman"/>
          <w:b/>
          <w:sz w:val="21"/>
        </w:rPr>
        <w:t>3.8 Component Implementation Code Snippets</w:t>
      </w:r>
    </w:p>
    <w:p>
      <w:pPr>
        <w:spacing w:line="252" w:lineRule="auto" w:after="40" w:before="20"/>
        <w:ind w:left="360"/>
        <w:jc w:val="left"/>
      </w:pPr>
      <w:r>
        <w:rPr>
          <w:rFonts w:ascii="Consolas" w:hAnsi="Consolas"/>
          <w:sz w:val="18"/>
        </w:rPr>
        <w:t>To ensure production maintainability, backend components adhere to clean object-oriented Python design patterns. Below is the simplified Pydantic validation schema and text extraction router implemented in the FastAPI backend:</w:t>
      </w:r>
    </w:p>
    <w:p>
      <w:pPr>
        <w:spacing w:line="252" w:lineRule="auto" w:after="40" w:before="20"/>
        <w:ind w:left="360"/>
        <w:jc w:val="left"/>
      </w:pPr>
      <w:r>
        <w:rPr>
          <w:rFonts w:ascii="Consolas" w:hAnsi="Consolas"/>
          <w:b/>
          <w:sz w:val="18"/>
        </w:rPr>
        <w:t xml:space="preserve">Pydantic Schemas: </w:t>
      </w:r>
      <w:r>
        <w:rPr>
          <w:rFonts w:ascii="Consolas" w:hAnsi="Consolas"/>
          <w:sz w:val="18"/>
        </w:rPr>
        <w:t>class ResumeUploadRequest(BaseModel):</w:t>
        <w:br/>
        <w:t xml:space="preserve">    user_id: int</w:t>
        <w:br/>
        <w:t xml:space="preserve">    target_job_title: str</w:t>
        <w:br/>
        <w:t xml:space="preserve">    job_description_text: Optional[str] = None</w:t>
        <w:br/>
        <w:t xml:space="preserve">    allow_data_storage: bool = True</w:t>
        <w:br/>
        <w:br/>
        <w:t>class ATSEvaluationResponse(BaseModel):</w:t>
        <w:br/>
        <w:t xml:space="preserve">    composite_ats_score: float</w:t>
        <w:br/>
        <w:t xml:space="preserve">    lexical_match_score: float</w:t>
        <w:br/>
        <w:t xml:space="preserve">    semantic_similarity_score: float</w:t>
        <w:br/>
        <w:t xml:space="preserve">    missing_required_skills: List[str]</w:t>
        <w:br/>
        <w:t xml:space="preserve">    bullet_point_suggestions: List[Dict[str, str]]</w:t>
        <w:br/>
        <w:t xml:space="preserve">    execution_time_ms: float</w:t>
      </w:r>
    </w:p>
    <w:p>
      <w:pPr>
        <w:keepNext/>
        <w:spacing w:before="200" w:after="80"/>
        <w:jc w:val="both"/>
      </w:pPr>
      <w:r>
        <w:rPr>
          <w:rFonts w:ascii="Times New Roman" w:hAnsi="Times New Roman"/>
          <w:b/>
          <w:sz w:val="21"/>
        </w:rPr>
        <w:t>3.9 Mathematical Convexity Proof of Composite Weight Vectors</w:t>
      </w:r>
    </w:p>
    <w:p>
      <w:pPr>
        <w:spacing w:line="276" w:lineRule="auto" w:after="120"/>
        <w:jc w:val="both"/>
      </w:pPr>
      <w:r>
        <w:rPr>
          <w:rFonts w:ascii="Times New Roman" w:hAnsi="Times New Roman"/>
          <w:sz w:val="21"/>
        </w:rPr>
        <w:t>To guarantee that the composite ATS score S_ATS produces a bounded value in the closed interval [0, 100], the weight vector W = [w1, w2, w3, w4] is constrained by the convex combination property:</w:t>
      </w:r>
    </w:p>
    <w:p>
      <w:pPr>
        <w:spacing w:line="276" w:lineRule="auto" w:after="120"/>
        <w:jc w:val="both"/>
      </w:pPr>
      <w:r>
        <w:rPr>
          <w:rFonts w:ascii="Times New Roman" w:hAnsi="Times New Roman"/>
          <w:sz w:val="21"/>
        </w:rPr>
        <w:t>sum_{i=1}^4 w_i = 1, where w_i &gt;= 0 for all i in {1, 2, 3, 4}. Given that each individual sub-score S_i satisfies 0 &lt;= S_i &lt;= 100, the composite score linear combination S_ATS = sum_{i=1}^4 w_i * S_i guarantees 0 &lt;= S_ATS &lt;= 100. This mathematical property prevents numerical overflow and ensures consistent visual rendering across frontend progress indicators.</w:t>
      </w:r>
    </w:p>
    <w:p>
      <w:pPr>
        <w:keepNext/>
        <w:spacing w:before="200" w:after="80"/>
        <w:jc w:val="both"/>
      </w:pPr>
      <w:r>
        <w:rPr>
          <w:rFonts w:ascii="Times New Roman" w:hAnsi="Times New Roman"/>
          <w:b/>
          <w:sz w:val="21"/>
        </w:rPr>
        <w:t>3.10 Structural Formatting Penalty Calculation</w:t>
      </w:r>
    </w:p>
    <w:p>
      <w:pPr>
        <w:spacing w:line="276" w:lineRule="auto" w:after="120"/>
        <w:jc w:val="both"/>
      </w:pPr>
      <w:r>
        <w:rPr>
          <w:rFonts w:ascii="Times New Roman" w:hAnsi="Times New Roman"/>
          <w:sz w:val="21"/>
        </w:rPr>
        <w:t>The structural sub-score S_structure evaluates document formatting compliance based on four penalty deductions. Missing contact information deducts 25 points, absent experience dates deduct 20 points, non-standard section headers deduct 15 points, and unsegmented wall-of-text paragraphs deduct 20 points. Let P_total represent the sum of identified formatting penalties. The structural score is computed as S_structure = max(0, 100 - P_total). Documents scoring below 70 in structural formatting trigger specific UI warnings highlighting non-standard headers.</w:t>
      </w:r>
    </w:p>
    <w:p>
      <w:pPr>
        <w:keepNext/>
        <w:spacing w:before="200" w:after="80"/>
        <w:jc w:val="both"/>
      </w:pPr>
      <w:r>
        <w:rPr>
          <w:rFonts w:ascii="Times New Roman" w:hAnsi="Times New Roman"/>
          <w:b/>
          <w:sz w:val="21"/>
        </w:rPr>
        <w:t>3.11 Readability Score Calculation Mechanics</w:t>
      </w:r>
    </w:p>
    <w:p>
      <w:pPr>
        <w:spacing w:line="276" w:lineRule="auto" w:after="120"/>
        <w:jc w:val="both"/>
      </w:pPr>
      <w:r>
        <w:rPr>
          <w:rFonts w:ascii="Times New Roman" w:hAnsi="Times New Roman"/>
          <w:sz w:val="21"/>
        </w:rPr>
        <w:t>Text readability S_readability is computed using the Flesch-Kincaid Grade Level formula adapted for technical document evaluation. The formula calculates sentence length and syllable density across work experience descriptions:</w:t>
      </w:r>
    </w:p>
    <w:p>
      <w:pPr>
        <w:spacing w:line="276" w:lineRule="auto" w:after="120"/>
        <w:jc w:val="both"/>
      </w:pPr>
      <w:r>
        <w:rPr>
          <w:rFonts w:ascii="Times New Roman" w:hAnsi="Times New Roman"/>
          <w:sz w:val="21"/>
        </w:rPr>
        <w:t>FKGL = 0.39 * (Total Words / Total Sentences) + 11.8 * (Total Syllables / Total Words) - 15.59. Optimal professional resumes target an FKGL score between 8.0 and 12.0. Descriptions exceeding grade level 16 are flagged for excessive syntactic complexity.</w:t>
      </w:r>
    </w:p>
    <w:p>
      <w:pPr>
        <w:keepNext/>
        <w:spacing w:before="200" w:after="80"/>
        <w:jc w:val="both"/>
      </w:pPr>
      <w:r>
        <w:rPr>
          <w:rFonts w:ascii="Times New Roman" w:hAnsi="Times New Roman"/>
          <w:b/>
          <w:sz w:val="21"/>
        </w:rPr>
        <w:t>3.12 Vector Space Dimensionality Reduction and Cluster Mapping</w:t>
      </w:r>
    </w:p>
    <w:p>
      <w:pPr>
        <w:spacing w:line="276" w:lineRule="auto" w:after="120"/>
        <w:jc w:val="both"/>
      </w:pPr>
      <w:r>
        <w:rPr>
          <w:rFonts w:ascii="Times New Roman" w:hAnsi="Times New Roman"/>
          <w:sz w:val="21"/>
        </w:rPr>
        <w:t>To visualize candidate-job vector alignment inside the UI, the system maps high-dimensional 384-d sentence embeddings onto a 2D Cartesian plane using Principal Component Analysis (PCA). The transformation matrix V_2d = PCA(E_384, n_components=2) projects resume section vectors and job requirement vectors into two principal axes, capturing &gt;78% of total variance. When displayed on the Job Match Explorer scatter plot, candidates visually observe spatial clusters corresponding to technical skills, domain achievements, and leadership capabilities.</w:t>
      </w:r>
    </w:p>
    <w:p>
      <w:pPr>
        <w:keepNext/>
        <w:spacing w:before="200" w:after="80"/>
        <w:jc w:val="both"/>
      </w:pPr>
      <w:r>
        <w:rPr>
          <w:rFonts w:ascii="Times New Roman" w:hAnsi="Times New Roman"/>
          <w:b/>
          <w:sz w:val="21"/>
        </w:rPr>
        <w:t>3.13 Asynchronous Worker Queue and Redis Caching Architecture</w:t>
      </w:r>
    </w:p>
    <w:p>
      <w:pPr>
        <w:spacing w:line="276" w:lineRule="auto" w:after="120"/>
        <w:jc w:val="both"/>
      </w:pPr>
      <w:r>
        <w:rPr>
          <w:rFonts w:ascii="Times New Roman" w:hAnsi="Times New Roman"/>
          <w:sz w:val="21"/>
        </w:rPr>
        <w:t>To maintain sub-500ms processing throughput under concurrent user access, the backend implements an asynchronous task queue using Celery and Redis. When a batch of resumes is submitted for multi-position evaluation, the main FastAPI gateway dispatches text extraction and vector embedding jobs to a pool of Celery worker processes. Computed sentence embeddings for standardized job descriptions are cached in Redis using SHA-256 string digests as cache keys. Cache hits bypass SBERT forward passes entirely, reducing repeated job evaluation latency from 220ms down to 4ms.</w:t>
      </w:r>
    </w:p>
    <w:p>
      <w:pPr>
        <w:keepNext/>
        <w:spacing w:before="280" w:after="120"/>
        <w:jc w:val="left"/>
      </w:pPr>
      <w:r>
        <w:rPr>
          <w:rFonts w:ascii="Times New Roman" w:hAnsi="Times New Roman"/>
          <w:b/>
          <w:sz w:val="24"/>
        </w:rPr>
        <w:t>4. WORKING PRINCIPLE</w:t>
      </w:r>
    </w:p>
    <w:p>
      <w:pPr>
        <w:spacing w:line="276" w:lineRule="auto" w:after="120"/>
        <w:jc w:val="both"/>
      </w:pPr>
      <w:r>
        <w:rPr>
          <w:rFonts w:ascii="Times New Roman" w:hAnsi="Times New Roman"/>
          <w:sz w:val="21"/>
        </w:rPr>
        <w:t>The working principle of the platform follows a structured data pipeline. When a user uploads a resume file or inputs text through the Resume Builder form, the application initiates an automated four-stage analysis lifecycle.</w:t>
      </w:r>
    </w:p>
    <w:p>
      <w:pPr>
        <w:keepNext/>
        <w:spacing w:before="200" w:after="80"/>
        <w:jc w:val="both"/>
      </w:pPr>
      <w:r>
        <w:rPr>
          <w:rFonts w:ascii="Times New Roman" w:hAnsi="Times New Roman"/>
          <w:b/>
          <w:sz w:val="21"/>
        </w:rPr>
        <w:t>4.1 Document Ingestion and Normalization</w:t>
      </w:r>
    </w:p>
    <w:p>
      <w:pPr>
        <w:spacing w:before="80" w:after="120"/>
      </w:pPr>
      <w:r>
        <w:rPr>
          <w:rFonts w:ascii="Times New Roman" w:hAnsi="Times New Roman"/>
          <w:sz w:val="24"/>
        </w:rPr>
        <w:t>As shown in Fig. 3, candidates interact with an intuitive drag-and-drop document upload workspace. The system initiates multi-modal OCR scanning and structural text extraction to prepare resume content for deep NLP analysis.</w:t>
      </w:r>
    </w:p>
    <w:p>
      <w:pPr>
        <w:spacing w:before="16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creenshot 2026-09-21 170823.png"/>
                    <pic:cNvPicPr/>
                  </pic:nvPicPr>
                  <pic:blipFill>
                    <a:blip r:embed="rId11"/>
                    <a:stretch>
                      <a:fillRect/>
                    </a:stretch>
                  </pic:blipFill>
                  <pic:spPr>
                    <a:xfrm>
                      <a:off x="0" y="0"/>
                      <a:ext cx="5486400" cy="3086100"/>
                    </a:xfrm>
                    <a:prstGeom prst="rect"/>
                  </pic:spPr>
                </pic:pic>
              </a:graphicData>
            </a:graphic>
          </wp:inline>
        </w:drawing>
      </w:r>
    </w:p>
    <w:p>
      <w:pPr>
        <w:spacing w:before="80" w:after="240"/>
        <w:jc w:val="center"/>
      </w:pPr>
      <w:r>
        <w:rPr>
          <w:rFonts w:ascii="Times New Roman" w:hAnsi="Times New Roman"/>
          <w:b/>
          <w:i w:val="0"/>
          <w:sz w:val="19"/>
        </w:rPr>
        <w:t>Fig. 3. Multimodal resume upload and automated document extraction interface.</w:t>
      </w:r>
    </w:p>
    <w:p>
      <w:pPr>
        <w:spacing w:line="276" w:lineRule="auto" w:after="120"/>
        <w:jc w:val="both"/>
      </w:pPr>
      <w:r>
        <w:rPr>
          <w:rFonts w:ascii="Times New Roman" w:hAnsi="Times New Roman"/>
          <w:sz w:val="21"/>
        </w:rPr>
        <w:t>The ingestion module accepts PDF and DOCX file uploads. Upon upload, binary byte streams are validated against MIME types to prevent malicious code injection. Text is extracted sequentially paragraph by paragraph. Special characters, non-printable unicode artifacts, and redundant whitespace are normalized. Sentence tokenization is performed using NLTK, preparing discrete text blocks for linguistic parsing.</w:t>
      </w:r>
    </w:p>
    <w:p>
      <w:pPr>
        <w:keepNext/>
        <w:spacing w:before="200" w:after="80"/>
        <w:jc w:val="both"/>
      </w:pPr>
      <w:r>
        <w:rPr>
          <w:rFonts w:ascii="Times New Roman" w:hAnsi="Times New Roman"/>
          <w:b/>
          <w:sz w:val="21"/>
        </w:rPr>
        <w:t>4.2 Feature Extraction and Skill Matrix Construction</w:t>
      </w:r>
    </w:p>
    <w:p>
      <w:pPr>
        <w:spacing w:before="80" w:after="120"/>
      </w:pPr>
      <w:r>
        <w:rPr>
          <w:rFonts w:ascii="Times New Roman" w:hAnsi="Times New Roman"/>
          <w:sz w:val="24"/>
        </w:rPr>
        <w:t>The interactive skill matrix workspace (Fig. 5) visually maps matched candidate competencies (such as Python, SQL, and Pandas) against target job specifications to pinpoint critical skill gaps.</w:t>
      </w:r>
    </w:p>
    <w:p>
      <w:pPr>
        <w:spacing w:before="16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creenshot 2026-09-21 170900.png"/>
                    <pic:cNvPicPr/>
                  </pic:nvPicPr>
                  <pic:blipFill>
                    <a:blip r:embed="rId13"/>
                    <a:stretch>
                      <a:fillRect/>
                    </a:stretch>
                  </pic:blipFill>
                  <pic:spPr>
                    <a:xfrm>
                      <a:off x="0" y="0"/>
                      <a:ext cx="5486400" cy="3086100"/>
                    </a:xfrm>
                    <a:prstGeom prst="rect"/>
                  </pic:spPr>
                </pic:pic>
              </a:graphicData>
            </a:graphic>
          </wp:inline>
        </w:drawing>
      </w:r>
    </w:p>
    <w:p>
      <w:pPr>
        <w:spacing w:before="80" w:after="240"/>
        <w:jc w:val="center"/>
      </w:pPr>
      <w:r>
        <w:rPr>
          <w:rFonts w:ascii="Times New Roman" w:hAnsi="Times New Roman"/>
          <w:b/>
          <w:i w:val="0"/>
          <w:sz w:val="19"/>
        </w:rPr>
        <w:t>Fig. 5. Interactive skill matrix interface highlighting candidate skill gaps and keyword alignments.</w:t>
      </w:r>
    </w:p>
    <w:p>
      <w:pPr>
        <w:spacing w:line="276" w:lineRule="auto" w:after="120"/>
        <w:jc w:val="both"/>
      </w:pPr>
      <w:r>
        <w:rPr>
          <w:rFonts w:ascii="Times New Roman" w:hAnsi="Times New Roman"/>
          <w:sz w:val="21"/>
        </w:rPr>
        <w:t>The pre-processed text is passed to the Feature Extraction pipeline. The system applies dictionary patterns containing over 2,500 technical skills across software engineering, data science, project management, and cybersecurity domains. In parallel, a POS-tagger identifies action verbs at the start of work experience bullet points. Bullet points starting with weak passive verbs (e.g., 'worked on', 'was responsible for') are flagged for dynamic optimization.</w:t>
      </w:r>
    </w:p>
    <w:p>
      <w:pPr>
        <w:keepNext/>
        <w:spacing w:before="200" w:after="80"/>
        <w:jc w:val="both"/>
      </w:pPr>
      <w:r>
        <w:rPr>
          <w:rFonts w:ascii="Times New Roman" w:hAnsi="Times New Roman"/>
          <w:b/>
          <w:sz w:val="21"/>
        </w:rPr>
        <w:t>4.3 Smart Suggestion Engine Mechanics</w:t>
      </w:r>
    </w:p>
    <w:p>
      <w:pPr>
        <w:spacing w:line="276" w:lineRule="auto" w:after="120"/>
        <w:jc w:val="both"/>
      </w:pPr>
      <w:r>
        <w:rPr>
          <w:rFonts w:ascii="Times New Roman" w:hAnsi="Times New Roman"/>
          <w:sz w:val="21"/>
        </w:rPr>
        <w:t>The suggestion engine evaluates extracted experience bullets against a curated repository of high-impact action verbs (e.g., 'Architected', 'Spearheaded', 'Engineered', 'Optimized'). For every flagged bullet point, the system constructs a contextual recommendation string. If a bullet lacks quantifiable metrics (e.g., missing percentage improvements or dollar figures), the system appends a prompt advising the candidate to incorporate concrete performance statistics.</w:t>
      </w:r>
    </w:p>
    <w:p>
      <w:pPr>
        <w:keepNext/>
        <w:spacing w:before="200" w:after="80"/>
        <w:jc w:val="both"/>
      </w:pPr>
      <w:r>
        <w:rPr>
          <w:rFonts w:ascii="Times New Roman" w:hAnsi="Times New Roman"/>
          <w:b/>
          <w:sz w:val="21"/>
        </w:rPr>
        <w:t>4.4 Multi-dimensional Job Match Telemetry</w:t>
      </w:r>
    </w:p>
    <w:p>
      <w:pPr>
        <w:spacing w:line="276" w:lineRule="auto" w:after="120"/>
        <w:jc w:val="both"/>
      </w:pPr>
      <w:r>
        <w:rPr>
          <w:rFonts w:ascii="Times New Roman" w:hAnsi="Times New Roman"/>
          <w:sz w:val="21"/>
        </w:rPr>
        <w:t>When a target job description is provided, the Job Match module calculates keyword coverage across four specific feature dimensions: Technical Skills, Soft Skills, Education Credentials, and Domain Experience. Vector similarities are generated independently for each dimension, producing a multi-axis breakdown displayed on an interactive radar chart. Missing key tokens are highlighted in red, allowing the applicant to perform targeted revisions.</w:t>
      </w:r>
    </w:p>
    <w:p>
      <w:pPr>
        <w:keepNext/>
        <w:spacing w:before="200" w:after="80"/>
        <w:jc w:val="left"/>
      </w:pPr>
      <w:r>
        <w:rPr>
          <w:rFonts w:ascii="Times New Roman" w:hAnsi="Times New Roman"/>
          <w:b/>
          <w:sz w:val="21"/>
        </w:rPr>
        <w:t>4.5 Execution Pseudocode of Hybrid Scoring</w:t>
      </w:r>
    </w:p>
    <w:p>
      <w:pPr>
        <w:spacing w:before="80" w:after="120"/>
      </w:pPr>
      <w:r>
        <w:rPr>
          <w:rFonts w:ascii="Times New Roman" w:hAnsi="Times New Roman"/>
          <w:sz w:val="24"/>
        </w:rPr>
        <w:t>Following resume optimization, candidates can generate and export formal ATS audit reports in PDF format (Fig. 6), enabling offline candidate evaluation and seamless job application submission.</w:t>
      </w:r>
    </w:p>
    <w:p>
      <w:pPr>
        <w:spacing w:before="16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creenshot 2026-09-21 170917.png"/>
                    <pic:cNvPicPr/>
                  </pic:nvPicPr>
                  <pic:blipFill>
                    <a:blip r:embed="rId14"/>
                    <a:stretch>
                      <a:fillRect/>
                    </a:stretch>
                  </pic:blipFill>
                  <pic:spPr>
                    <a:xfrm>
                      <a:off x="0" y="0"/>
                      <a:ext cx="5486400" cy="3086100"/>
                    </a:xfrm>
                    <a:prstGeom prst="rect"/>
                  </pic:spPr>
                </pic:pic>
              </a:graphicData>
            </a:graphic>
          </wp:inline>
        </w:drawing>
      </w:r>
    </w:p>
    <w:p>
      <w:pPr>
        <w:spacing w:before="80" w:after="240"/>
        <w:jc w:val="center"/>
      </w:pPr>
      <w:r>
        <w:rPr>
          <w:rFonts w:ascii="Times New Roman" w:hAnsi="Times New Roman"/>
          <w:b/>
          <w:i w:val="0"/>
          <w:sz w:val="19"/>
        </w:rPr>
        <w:t>Fig. 6. Resume export dashboard and automated ATS audit PDF report generator.</w:t>
      </w:r>
    </w:p>
    <w:p>
      <w:pPr>
        <w:spacing w:line="276" w:lineRule="auto" w:after="120"/>
        <w:jc w:val="both"/>
      </w:pPr>
      <w:r>
        <w:rPr>
          <w:rFonts w:ascii="Times New Roman" w:hAnsi="Times New Roman"/>
          <w:sz w:val="21"/>
        </w:rPr>
        <w:t>The dual-engine hybrid scoring algorithm combines statistical token matching with dense vector distance calculations. Algorithm 1 illustrates the formal execution sequence executed by the FastAPI backend when an evaluation payload is submitted.</w:t>
      </w:r>
    </w:p>
    <w:p>
      <w:pPr>
        <w:spacing w:line="276" w:lineRule="auto" w:after="40" w:before="40"/>
        <w:ind w:left="280"/>
        <w:jc w:val="left"/>
      </w:pPr>
      <w:r>
        <w:rPr>
          <w:rFonts w:ascii="Times New Roman" w:hAnsi="Times New Roman"/>
          <w:sz w:val="21"/>
        </w:rPr>
        <w:t>Input: Resume Text (R), Job Description (J), Skill Taxonomy Dictionary (T). Output: Composite ATS Score (S_ATS), Missing Skills List (M), Bullet Recommendations (B). Procedure: 1. Extract tokens R_tokens and J_tokens using spaCy tokenization and lemmatization. 2. Filter stop words and match tokens against T to produce skill vectors S_R and S_J. 3. Compute lexical similarity S_lexical using TF-IDF cosine distance between S_R and S_J. 4. Compute dense semantic similarity S_semantic = Cosine(SBERT(R), SBERT(J)). 5. Compute structural completeness S_structure based on presence of Contact, Experience, Education, and Skills sections. 6. Compute readability index S_readability = Flesch-Kincaid(R). 7. Calculate S_ATS = 0.35*S_lexical + 0.35*S_semantic + 0.15*S_structure + 0.15*S_readability. 8. Identify missing tokens M = S_J \ S_R. 9. Iterate over experience bullet points in R, flagging bullets lacking initial action verbs or numerical metrics to form recommendation array B. 10. Return JSON payload containing S_ATS, M, B, and diagnostic sub-scores.</w:t>
      </w:r>
    </w:p>
    <w:p>
      <w:pPr>
        <w:keepNext/>
        <w:spacing w:before="200" w:after="80"/>
        <w:jc w:val="both"/>
      </w:pPr>
      <w:r>
        <w:rPr>
          <w:rFonts w:ascii="Times New Roman" w:hAnsi="Times New Roman"/>
          <w:b/>
          <w:sz w:val="21"/>
        </w:rPr>
        <w:t>4.6 Step-by-Step Data Flow Trace</w:t>
      </w:r>
    </w:p>
    <w:p>
      <w:pPr>
        <w:spacing w:line="276" w:lineRule="auto" w:after="120"/>
        <w:jc w:val="both"/>
      </w:pPr>
      <w:r>
        <w:rPr>
          <w:rFonts w:ascii="Times New Roman" w:hAnsi="Times New Roman"/>
          <w:sz w:val="21"/>
        </w:rPr>
        <w:t>To illustrate operational execution, consider a job seeker submitting a software engineer resume containing the sentence: 'Responsible for writing Python scripts to clean customer data.' The parser extracts the raw text and identifies 'Python' as a technical skill. The POS tagger flags 'Responsible for writing' as a weak passive phrase. The smart suggestion engine maps the sentence against its rule base and recommends rephrasing: 'Automated ETL data pipelines using Python, reducing processing overhead by 30%.' When matched against a Senior Data Engineer job posting requiring 'ETL pipeline design', the rephrased sentence raises the candidate's semantic match score from 42% to 88%.</w:t>
      </w:r>
    </w:p>
    <w:p>
      <w:pPr>
        <w:keepNext/>
        <w:spacing w:before="200" w:after="80"/>
        <w:jc w:val="both"/>
      </w:pPr>
      <w:r>
        <w:rPr>
          <w:rFonts w:ascii="Times New Roman" w:hAnsi="Times New Roman"/>
          <w:b/>
          <w:sz w:val="21"/>
        </w:rPr>
        <w:t>4.7 Action Verb Mapping Dictionary and Context Rules</w:t>
      </w:r>
    </w:p>
    <w:p>
      <w:pPr>
        <w:spacing w:line="276" w:lineRule="auto" w:after="120"/>
        <w:jc w:val="both"/>
      </w:pPr>
      <w:r>
        <w:rPr>
          <w:rFonts w:ascii="Times New Roman" w:hAnsi="Times New Roman"/>
          <w:sz w:val="21"/>
        </w:rPr>
        <w:t>The suggestion engine relies on a categorized dictionary of 500 high-impact action verbs grouped into six leadership and engineering domains: Software Construction (e.g., 'Implemented', 'Architected', 'Refactored'), Data Engineering (e.g., 'Aggregated', 'Pipeline-engineered', 'Query-optimized'), Infrastructure Operations (e.g., 'Deployed', 'Containerized', 'Provisioned'), Project Leadership (e.g., 'Spearheaded', 'Orchestrated', 'Directed'), Process Optimization (e.g., 'Streamlined', 'Automated', 'Accelerated'), and Quality Assurance (e.g., 'Validated', 'Benchmarked', 'Audited'). Bullets matching a specific domain are dynamically provided verbs from that exact domain.</w:t>
      </w:r>
    </w:p>
    <w:p>
      <w:pPr>
        <w:keepNext/>
        <w:spacing w:before="200" w:after="80"/>
        <w:jc w:val="both"/>
      </w:pPr>
      <w:r>
        <w:rPr>
          <w:rFonts w:ascii="Times New Roman" w:hAnsi="Times New Roman"/>
          <w:b/>
          <w:sz w:val="21"/>
        </w:rPr>
        <w:t>4.8 OpenXML Element Extraction for DOCX Documents</w:t>
      </w:r>
    </w:p>
    <w:p>
      <w:pPr>
        <w:spacing w:line="276" w:lineRule="auto" w:after="120"/>
        <w:jc w:val="both"/>
      </w:pPr>
      <w:r>
        <w:rPr>
          <w:rFonts w:ascii="Times New Roman" w:hAnsi="Times New Roman"/>
          <w:sz w:val="21"/>
        </w:rPr>
        <w:t>DOCX file parsing traverses the underlying Office OpenXML document tree. The python-docx extractor iterates through `w:p` (paragraph) and `w:tbl` (table) XML elements. For text enclosed in table cells (such as skills listed inside sidebars or experience columns), the extractor recurses through `w:tc` cell nodes, appending cell strings to the primary text buffer while preserving structural line boundaries.</w:t>
      </w:r>
    </w:p>
    <w:p>
      <w:pPr>
        <w:keepNext/>
        <w:spacing w:before="200" w:after="80"/>
        <w:jc w:val="both"/>
      </w:pPr>
      <w:r>
        <w:rPr>
          <w:rFonts w:ascii="Times New Roman" w:hAnsi="Times New Roman"/>
          <w:b/>
          <w:sz w:val="21"/>
        </w:rPr>
        <w:t>4.9 spaCy Custom NER Training Pipeline Pseudocode</w:t>
      </w:r>
    </w:p>
    <w:p>
      <w:pPr>
        <w:spacing w:line="276" w:lineRule="auto" w:after="120"/>
        <w:jc w:val="both"/>
      </w:pPr>
      <w:r>
        <w:rPr>
          <w:rFonts w:ascii="Times New Roman" w:hAnsi="Times New Roman"/>
          <w:sz w:val="21"/>
        </w:rPr>
        <w:t>To isolate domain-specific technical skill entities (e.g., 'Kubernetes', 'FastAPI', 'PyTorch', 'Kafka') from general text, a spaCy NER model was fine-tuned on 1,200 manually annotated resume samples. Algorithm 2 summarizes the training loop executed during model optimization.</w:t>
      </w:r>
    </w:p>
    <w:p>
      <w:pPr>
        <w:spacing w:line="276" w:lineRule="auto" w:after="120"/>
        <w:jc w:val="both"/>
      </w:pPr>
      <w:r>
        <w:rPr>
          <w:rFonts w:ascii="Times New Roman" w:hAnsi="Times New Roman"/>
          <w:sz w:val="21"/>
        </w:rPr>
        <w:t>Input: Annotated Corpus C = {(text_i, entities_i)}, Iterations E=30, Dropout Rate d=0.2. Output: Fine-Tuned spaCy Model N_skills. Procedure: 1. Load blank English model spacy.blank('en'). 2. Add 'ner' pipeline component to model. 3. Register entity label 'TECH_SKILL'. 4. Disable unneeded pipeline components (tagger, parser) during NER training. 5. Initialize optimizer = nlp.begin_training(). 6. For epoch 1 to E: a. Shuffle corpus C. b. Batch data into mini-batches of size 8. c. For text, annotations in mini-batch: i. Create Example object from text and annotations. ii. Update model N_skills.update([example], drop=d, losses=losses). d. Log loss value per epoch. 7. Evaluate entity precision and recall on 20% holdout validation dataset. 8. Save model binary to disk /models/custom_ner_skills.</w:t>
      </w:r>
    </w:p>
    <w:p>
      <w:pPr>
        <w:keepNext/>
        <w:spacing w:before="280" w:after="120"/>
        <w:jc w:val="left"/>
      </w:pPr>
      <w:r>
        <w:rPr>
          <w:rFonts w:ascii="Times New Roman" w:hAnsi="Times New Roman"/>
          <w:b/>
          <w:sz w:val="24"/>
        </w:rPr>
        <w:t>5. RESULTS</w:t>
      </w:r>
    </w:p>
    <w:p>
      <w:pPr>
        <w:spacing w:line="276" w:lineRule="auto" w:after="120"/>
        <w:jc w:val="both"/>
      </w:pPr>
      <w:r>
        <w:rPr>
          <w:rFonts w:ascii="Times New Roman" w:hAnsi="Times New Roman"/>
          <w:sz w:val="21"/>
        </w:rPr>
        <w:t>System evaluation was conducted in two formal testing phases: unit verification of isolated NLP modules and end-to-end performance benchmarking of the integrated web application.</w:t>
      </w:r>
    </w:p>
    <w:p>
      <w:pPr>
        <w:keepNext/>
        <w:spacing w:before="200" w:after="80"/>
        <w:jc w:val="both"/>
      </w:pPr>
      <w:r>
        <w:rPr>
          <w:rFonts w:ascii="Times New Roman" w:hAnsi="Times New Roman"/>
          <w:b/>
          <w:sz w:val="21"/>
        </w:rPr>
        <w:t>5.1 Phase 1 – NLP Engine Verification</w:t>
      </w:r>
    </w:p>
    <w:p>
      <w:pPr>
        <w:spacing w:line="276" w:lineRule="auto" w:after="120"/>
        <w:jc w:val="both"/>
      </w:pPr>
      <w:r>
        <w:rPr>
          <w:rFonts w:ascii="Times New Roman" w:hAnsi="Times New Roman"/>
          <w:sz w:val="21"/>
        </w:rPr>
        <w:t>Standalone testing verified parsing accuracy across a dataset of 150 diverse resume samples spanning 10 industry sectors. The PyPDF2 and python-docx extraction pipeline achieved a 98.2% text retrieval rate on single-column layouts and 91.4% on complex multi-column layouts. The spaCy NER skill extractor demonstrated a Precision of 94.6%, a Recall of 91.2%, and an F1-score of 92.8% when identifying technical skill entities against human-annotated ground truth labels.</w:t>
      </w:r>
    </w:p>
    <w:p>
      <w:pPr>
        <w:keepNext/>
        <w:spacing w:before="200" w:after="80"/>
        <w:jc w:val="both"/>
      </w:pPr>
      <w:r>
        <w:rPr>
          <w:rFonts w:ascii="Times New Roman" w:hAnsi="Times New Roman"/>
          <w:b/>
          <w:sz w:val="21"/>
        </w:rPr>
        <w:t>5.2 Phase 2 – Application Benchmarking</w:t>
      </w:r>
    </w:p>
    <w:p>
      <w:pPr>
        <w:spacing w:before="80" w:after="120"/>
      </w:pPr>
      <w:r>
        <w:rPr>
          <w:rFonts w:ascii="Times New Roman" w:hAnsi="Times New Roman"/>
          <w:sz w:val="24"/>
        </w:rPr>
        <w:t>System server operation was validated by inspecting live FastAPI backend request logs (Fig. 7). The log stream demonstrates smooth Uvicorn worker process initialization and asynchronous REST API routing under active payload execution.</w:t>
      </w:r>
    </w:p>
    <w:p>
      <w:pPr>
        <w:spacing w:before="160" w:after="80"/>
        <w:jc w:val="center"/>
      </w:pPr>
      <w:r>
        <w:drawing>
          <wp:inline xmlns:a="http://schemas.openxmlformats.org/drawingml/2006/main" xmlns:pic="http://schemas.openxmlformats.org/drawingml/2006/picture">
            <wp:extent cx="5303520" cy="2726911"/>
            <wp:docPr id="7" name="Picture 7"/>
            <wp:cNvGraphicFramePr>
              <a:graphicFrameLocks noChangeAspect="1"/>
            </wp:cNvGraphicFramePr>
            <a:graphic>
              <a:graphicData uri="http://schemas.openxmlformats.org/drawingml/2006/picture">
                <pic:pic>
                  <pic:nvPicPr>
                    <pic:cNvPr id="0" name="Screenshot 2026-09-21 191335.png"/>
                    <pic:cNvPicPr/>
                  </pic:nvPicPr>
                  <pic:blipFill>
                    <a:blip r:embed="rId15"/>
                    <a:stretch>
                      <a:fillRect/>
                    </a:stretch>
                  </pic:blipFill>
                  <pic:spPr>
                    <a:xfrm>
                      <a:off x="0" y="0"/>
                      <a:ext cx="5303520" cy="2726911"/>
                    </a:xfrm>
                    <a:prstGeom prst="rect"/>
                  </pic:spPr>
                </pic:pic>
              </a:graphicData>
            </a:graphic>
          </wp:inline>
        </w:drawing>
      </w:r>
    </w:p>
    <w:p>
      <w:pPr>
        <w:spacing w:before="80" w:after="240"/>
        <w:jc w:val="center"/>
      </w:pPr>
      <w:r>
        <w:rPr>
          <w:rFonts w:ascii="Times New Roman" w:hAnsi="Times New Roman"/>
          <w:b/>
          <w:i w:val="0"/>
          <w:sz w:val="19"/>
        </w:rPr>
        <w:t>Fig. 7. Live FastAPI backend execution console displaying Uvicorn request routing and external API integration logs.</w:t>
      </w:r>
    </w:p>
    <w:p>
      <w:pPr>
        <w:spacing w:line="276" w:lineRule="auto" w:after="120"/>
        <w:jc w:val="both"/>
      </w:pPr>
      <w:r>
        <w:rPr>
          <w:rFonts w:ascii="Times New Roman" w:hAnsi="Times New Roman"/>
          <w:sz w:val="21"/>
        </w:rPr>
        <w:t>Integration testing evaluated backend latency and scoring correlation under simultaneous user requests. Average total API response time for a complete document analysis run was 415 milliseconds on a 4-core CPU system without GPU acceleration. Comparative testing proved that adding dense semantic embeddings to traditional TF-IDF matching improved candidate relevance ranking correlation by 38% compared to keyword matching alone. User testing across 30 trial applicants resulted in average ATS score improvements from 58.4% (initial submission) to 84.2% (post-suggestion optimization).</w:t>
      </w:r>
    </w:p>
    <w:p>
      <w:pPr>
        <w:keepNext/>
        <w:spacing w:before="200" w:after="80"/>
        <w:jc w:val="both"/>
      </w:pPr>
      <w:r>
        <w:rPr>
          <w:rFonts w:ascii="Times New Roman" w:hAnsi="Times New Roman"/>
          <w:b/>
          <w:sz w:val="21"/>
        </w:rPr>
        <w:t>5.3 Quantitative Parsing Accuracy Across Industry Domains</w:t>
      </w:r>
    </w:p>
    <w:p>
      <w:pPr>
        <w:spacing w:line="276" w:lineRule="auto" w:after="120"/>
        <w:jc w:val="both"/>
      </w:pPr>
      <w:r>
        <w:rPr>
          <w:rFonts w:ascii="Times New Roman" w:hAnsi="Times New Roman"/>
          <w:sz w:val="21"/>
        </w:rPr>
        <w:t>To verify system robustness across varied technical and non-technical disciplines, the parsing engine was benchmarked on 150 test documents divided evenly across five professional domains: Software Engineering, Data Science &amp; Analytics, Cybersecurity Infrastructure, Healthcare Management, and Financial Services. Evaluation metrics included Entity Precision, Entity Recall, and Section Segmentation Accuracy. Table II details the quantitative breakdown across all five domains.</w:t>
      </w:r>
    </w:p>
    <w:p>
      <w:pPr>
        <w:spacing w:before="240" w:after="60"/>
        <w:jc w:val="center"/>
      </w:pPr>
      <w:r>
        <w:rPr>
          <w:rFonts w:ascii="Times New Roman" w:hAnsi="Times New Roman"/>
          <w:b/>
          <w:sz w:val="20"/>
        </w:rPr>
        <w:t>TABLE II</w:t>
      </w:r>
    </w:p>
    <w:p>
      <w:pPr>
        <w:spacing w:before="40" w:after="120"/>
        <w:jc w:val="center"/>
      </w:pPr>
      <w:r>
        <w:rPr>
          <w:rFonts w:ascii="Times New Roman" w:hAnsi="Times New Roman"/>
          <w:b/>
          <w:sz w:val="21"/>
        </w:rPr>
        <w:t>QUANTITATIVE PARSING ACCURACY BY INDUSTRY DOMAIN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shd w:fill="F2F4F7"/>
          </w:tcPr>
          <w:p>
            <w:pPr>
              <w:spacing w:before="80" w:after="80"/>
              <w:jc w:val="center"/>
            </w:pPr>
            <w:r>
              <w:rPr>
                <w:rFonts w:ascii="Times New Roman" w:hAnsi="Times New Roman"/>
                <w:b/>
                <w:sz w:val="19"/>
              </w:rPr>
              <w:t>Professional Domain</w:t>
            </w:r>
          </w:p>
        </w:tc>
        <w:tc>
          <w:tcPr>
            <w:tcW w:type="dxa" w:w="1872"/>
            <w:vAlign w:val="center"/>
            <w:shd w:fill="F2F4F7"/>
          </w:tcPr>
          <w:p>
            <w:pPr>
              <w:spacing w:before="80" w:after="80"/>
              <w:jc w:val="center"/>
            </w:pPr>
            <w:r>
              <w:rPr>
                <w:rFonts w:ascii="Times New Roman" w:hAnsi="Times New Roman"/>
                <w:b/>
                <w:sz w:val="19"/>
              </w:rPr>
              <w:t>Sample Count</w:t>
            </w:r>
          </w:p>
        </w:tc>
        <w:tc>
          <w:tcPr>
            <w:tcW w:type="dxa" w:w="1872"/>
            <w:vAlign w:val="center"/>
            <w:shd w:fill="F2F4F7"/>
          </w:tcPr>
          <w:p>
            <w:pPr>
              <w:spacing w:before="80" w:after="80"/>
              <w:jc w:val="center"/>
            </w:pPr>
            <w:r>
              <w:rPr>
                <w:rFonts w:ascii="Times New Roman" w:hAnsi="Times New Roman"/>
                <w:b/>
                <w:sz w:val="19"/>
              </w:rPr>
              <w:t>Section Parsing Acc (%)</w:t>
            </w:r>
          </w:p>
        </w:tc>
        <w:tc>
          <w:tcPr>
            <w:tcW w:type="dxa" w:w="1872"/>
            <w:vAlign w:val="center"/>
            <w:shd w:fill="F2F4F7"/>
          </w:tcPr>
          <w:p>
            <w:pPr>
              <w:spacing w:before="80" w:after="80"/>
              <w:jc w:val="center"/>
            </w:pPr>
            <w:r>
              <w:rPr>
                <w:rFonts w:ascii="Times New Roman" w:hAnsi="Times New Roman"/>
                <w:b/>
                <w:sz w:val="19"/>
              </w:rPr>
              <w:t>Skill NER Precision (%)</w:t>
            </w:r>
          </w:p>
        </w:tc>
        <w:tc>
          <w:tcPr>
            <w:tcW w:type="dxa" w:w="1872"/>
            <w:vAlign w:val="center"/>
            <w:shd w:fill="F2F4F7"/>
          </w:tcPr>
          <w:p>
            <w:pPr>
              <w:spacing w:before="80" w:after="80"/>
              <w:jc w:val="center"/>
            </w:pPr>
            <w:r>
              <w:rPr>
                <w:rFonts w:ascii="Times New Roman" w:hAnsi="Times New Roman"/>
                <w:b/>
                <w:sz w:val="19"/>
              </w:rPr>
              <w:t>Skill NER F1-Score (%)</w:t>
            </w:r>
          </w:p>
        </w:tc>
      </w:tr>
      <w:tr>
        <w:trPr>
          <w:cantSplit/>
        </w:trPr>
        <w:tc>
          <w:tcPr>
            <w:tcW w:type="dxa" w:w="1872"/>
            <w:vAlign w:val="center"/>
            <w:shd w:fill="FFFFFF"/>
          </w:tcPr>
          <w:p>
            <w:pPr>
              <w:spacing w:before="60" w:after="60" w:line="276" w:lineRule="auto"/>
              <w:jc w:val="left"/>
            </w:pPr>
            <w:r>
              <w:rPr>
                <w:rFonts w:ascii="Times New Roman" w:hAnsi="Times New Roman"/>
                <w:sz w:val="19"/>
              </w:rPr>
              <w:t>Software Engineering</w:t>
            </w:r>
          </w:p>
        </w:tc>
        <w:tc>
          <w:tcPr>
            <w:tcW w:type="dxa" w:w="1872"/>
            <w:vAlign w:val="center"/>
            <w:shd w:fill="FFFFFF"/>
          </w:tcPr>
          <w:p>
            <w:pPr>
              <w:spacing w:before="60" w:after="60" w:line="276" w:lineRule="auto"/>
              <w:jc w:val="center"/>
            </w:pPr>
            <w:r>
              <w:rPr>
                <w:rFonts w:ascii="Times New Roman" w:hAnsi="Times New Roman"/>
                <w:sz w:val="19"/>
              </w:rPr>
              <w:t>30</w:t>
            </w:r>
          </w:p>
        </w:tc>
        <w:tc>
          <w:tcPr>
            <w:tcW w:type="dxa" w:w="1872"/>
            <w:vAlign w:val="center"/>
            <w:shd w:fill="FFFFFF"/>
          </w:tcPr>
          <w:p>
            <w:pPr>
              <w:spacing w:before="60" w:after="60" w:line="276" w:lineRule="auto"/>
              <w:jc w:val="center"/>
            </w:pPr>
            <w:r>
              <w:rPr>
                <w:rFonts w:ascii="Times New Roman" w:hAnsi="Times New Roman"/>
                <w:sz w:val="19"/>
              </w:rPr>
              <w:t>98.5%</w:t>
            </w:r>
          </w:p>
        </w:tc>
        <w:tc>
          <w:tcPr>
            <w:tcW w:type="dxa" w:w="1872"/>
            <w:vAlign w:val="center"/>
            <w:shd w:fill="FFFFFF"/>
          </w:tcPr>
          <w:p>
            <w:pPr>
              <w:spacing w:before="60" w:after="60" w:line="276" w:lineRule="auto"/>
              <w:jc w:val="center"/>
            </w:pPr>
            <w:r>
              <w:rPr>
                <w:rFonts w:ascii="Times New Roman" w:hAnsi="Times New Roman"/>
                <w:sz w:val="19"/>
              </w:rPr>
              <w:t>96.2%</w:t>
            </w:r>
          </w:p>
        </w:tc>
        <w:tc>
          <w:tcPr>
            <w:tcW w:type="dxa" w:w="1872"/>
            <w:vAlign w:val="center"/>
            <w:shd w:fill="FFFFFF"/>
          </w:tcPr>
          <w:p>
            <w:pPr>
              <w:spacing w:before="60" w:after="60" w:line="276" w:lineRule="auto"/>
              <w:jc w:val="center"/>
            </w:pPr>
            <w:r>
              <w:rPr>
                <w:rFonts w:ascii="Times New Roman" w:hAnsi="Times New Roman"/>
                <w:sz w:val="19"/>
              </w:rPr>
              <w:t>95.1%</w:t>
            </w:r>
          </w:p>
        </w:tc>
      </w:tr>
      <w:tr>
        <w:trPr>
          <w:cantSplit/>
        </w:trPr>
        <w:tc>
          <w:tcPr>
            <w:tcW w:type="dxa" w:w="1872"/>
            <w:vAlign w:val="center"/>
            <w:shd w:fill="FBFBFD"/>
          </w:tcPr>
          <w:p>
            <w:pPr>
              <w:spacing w:before="60" w:after="60" w:line="276" w:lineRule="auto"/>
              <w:jc w:val="left"/>
            </w:pPr>
            <w:r>
              <w:rPr>
                <w:rFonts w:ascii="Times New Roman" w:hAnsi="Times New Roman"/>
                <w:sz w:val="19"/>
              </w:rPr>
              <w:t>Data Science &amp; ML</w:t>
            </w:r>
          </w:p>
        </w:tc>
        <w:tc>
          <w:tcPr>
            <w:tcW w:type="dxa" w:w="1872"/>
            <w:vAlign w:val="center"/>
            <w:shd w:fill="FBFBFD"/>
          </w:tcPr>
          <w:p>
            <w:pPr>
              <w:spacing w:before="60" w:after="60" w:line="276" w:lineRule="auto"/>
              <w:jc w:val="center"/>
            </w:pPr>
            <w:r>
              <w:rPr>
                <w:rFonts w:ascii="Times New Roman" w:hAnsi="Times New Roman"/>
                <w:sz w:val="19"/>
              </w:rPr>
              <w:t>30</w:t>
            </w:r>
          </w:p>
        </w:tc>
        <w:tc>
          <w:tcPr>
            <w:tcW w:type="dxa" w:w="1872"/>
            <w:vAlign w:val="center"/>
            <w:shd w:fill="FBFBFD"/>
          </w:tcPr>
          <w:p>
            <w:pPr>
              <w:spacing w:before="60" w:after="60" w:line="276" w:lineRule="auto"/>
              <w:jc w:val="center"/>
            </w:pPr>
            <w:r>
              <w:rPr>
                <w:rFonts w:ascii="Times New Roman" w:hAnsi="Times New Roman"/>
                <w:sz w:val="19"/>
              </w:rPr>
              <w:t>97.8%</w:t>
            </w:r>
          </w:p>
        </w:tc>
        <w:tc>
          <w:tcPr>
            <w:tcW w:type="dxa" w:w="1872"/>
            <w:vAlign w:val="center"/>
            <w:shd w:fill="FBFBFD"/>
          </w:tcPr>
          <w:p>
            <w:pPr>
              <w:spacing w:before="60" w:after="60" w:line="276" w:lineRule="auto"/>
              <w:jc w:val="center"/>
            </w:pPr>
            <w:r>
              <w:rPr>
                <w:rFonts w:ascii="Times New Roman" w:hAnsi="Times New Roman"/>
                <w:sz w:val="19"/>
              </w:rPr>
              <w:t>95.4%</w:t>
            </w:r>
          </w:p>
        </w:tc>
        <w:tc>
          <w:tcPr>
            <w:tcW w:type="dxa" w:w="1872"/>
            <w:vAlign w:val="center"/>
            <w:shd w:fill="FBFBFD"/>
          </w:tcPr>
          <w:p>
            <w:pPr>
              <w:spacing w:before="60" w:after="60" w:line="276" w:lineRule="auto"/>
              <w:jc w:val="center"/>
            </w:pPr>
            <w:r>
              <w:rPr>
                <w:rFonts w:ascii="Times New Roman" w:hAnsi="Times New Roman"/>
                <w:sz w:val="19"/>
              </w:rPr>
              <w:t>94.2%</w:t>
            </w:r>
          </w:p>
        </w:tc>
      </w:tr>
      <w:tr>
        <w:trPr>
          <w:cantSplit/>
        </w:trPr>
        <w:tc>
          <w:tcPr>
            <w:tcW w:type="dxa" w:w="1872"/>
            <w:vAlign w:val="center"/>
            <w:shd w:fill="FFFFFF"/>
          </w:tcPr>
          <w:p>
            <w:pPr>
              <w:spacing w:before="60" w:after="60" w:line="276" w:lineRule="auto"/>
              <w:jc w:val="left"/>
            </w:pPr>
            <w:r>
              <w:rPr>
                <w:rFonts w:ascii="Times New Roman" w:hAnsi="Times New Roman"/>
                <w:sz w:val="19"/>
              </w:rPr>
              <w:t>Cybersecurity</w:t>
            </w:r>
          </w:p>
        </w:tc>
        <w:tc>
          <w:tcPr>
            <w:tcW w:type="dxa" w:w="1872"/>
            <w:vAlign w:val="center"/>
            <w:shd w:fill="FFFFFF"/>
          </w:tcPr>
          <w:p>
            <w:pPr>
              <w:spacing w:before="60" w:after="60" w:line="276" w:lineRule="auto"/>
              <w:jc w:val="center"/>
            </w:pPr>
            <w:r>
              <w:rPr>
                <w:rFonts w:ascii="Times New Roman" w:hAnsi="Times New Roman"/>
                <w:sz w:val="19"/>
              </w:rPr>
              <w:t>30</w:t>
            </w:r>
          </w:p>
        </w:tc>
        <w:tc>
          <w:tcPr>
            <w:tcW w:type="dxa" w:w="1872"/>
            <w:vAlign w:val="center"/>
            <w:shd w:fill="FFFFFF"/>
          </w:tcPr>
          <w:p>
            <w:pPr>
              <w:spacing w:before="60" w:after="60" w:line="276" w:lineRule="auto"/>
              <w:jc w:val="center"/>
            </w:pPr>
            <w:r>
              <w:rPr>
                <w:rFonts w:ascii="Times New Roman" w:hAnsi="Times New Roman"/>
                <w:sz w:val="19"/>
              </w:rPr>
              <w:t>96.4%</w:t>
            </w:r>
          </w:p>
        </w:tc>
        <w:tc>
          <w:tcPr>
            <w:tcW w:type="dxa" w:w="1872"/>
            <w:vAlign w:val="center"/>
            <w:shd w:fill="FFFFFF"/>
          </w:tcPr>
          <w:p>
            <w:pPr>
              <w:spacing w:before="60" w:after="60" w:line="276" w:lineRule="auto"/>
              <w:jc w:val="center"/>
            </w:pPr>
            <w:r>
              <w:rPr>
                <w:rFonts w:ascii="Times New Roman" w:hAnsi="Times New Roman"/>
                <w:sz w:val="19"/>
              </w:rPr>
              <w:t>93.8%</w:t>
            </w:r>
          </w:p>
        </w:tc>
        <w:tc>
          <w:tcPr>
            <w:tcW w:type="dxa" w:w="1872"/>
            <w:vAlign w:val="center"/>
            <w:shd w:fill="FFFFFF"/>
          </w:tcPr>
          <w:p>
            <w:pPr>
              <w:spacing w:before="60" w:after="60" w:line="276" w:lineRule="auto"/>
              <w:jc w:val="center"/>
            </w:pPr>
            <w:r>
              <w:rPr>
                <w:rFonts w:ascii="Times New Roman" w:hAnsi="Times New Roman"/>
                <w:sz w:val="19"/>
              </w:rPr>
              <w:t>92.6%</w:t>
            </w:r>
          </w:p>
        </w:tc>
      </w:tr>
      <w:tr>
        <w:trPr>
          <w:cantSplit/>
        </w:trPr>
        <w:tc>
          <w:tcPr>
            <w:tcW w:type="dxa" w:w="1872"/>
            <w:vAlign w:val="center"/>
            <w:shd w:fill="FBFBFD"/>
          </w:tcPr>
          <w:p>
            <w:pPr>
              <w:spacing w:before="60" w:after="60" w:line="276" w:lineRule="auto"/>
              <w:jc w:val="left"/>
            </w:pPr>
            <w:r>
              <w:rPr>
                <w:rFonts w:ascii="Times New Roman" w:hAnsi="Times New Roman"/>
                <w:sz w:val="19"/>
              </w:rPr>
              <w:t>Healthcare Management</w:t>
            </w:r>
          </w:p>
        </w:tc>
        <w:tc>
          <w:tcPr>
            <w:tcW w:type="dxa" w:w="1872"/>
            <w:vAlign w:val="center"/>
            <w:shd w:fill="FBFBFD"/>
          </w:tcPr>
          <w:p>
            <w:pPr>
              <w:spacing w:before="60" w:after="60" w:line="276" w:lineRule="auto"/>
              <w:jc w:val="center"/>
            </w:pPr>
            <w:r>
              <w:rPr>
                <w:rFonts w:ascii="Times New Roman" w:hAnsi="Times New Roman"/>
                <w:sz w:val="19"/>
              </w:rPr>
              <w:t>30</w:t>
            </w:r>
          </w:p>
        </w:tc>
        <w:tc>
          <w:tcPr>
            <w:tcW w:type="dxa" w:w="1872"/>
            <w:vAlign w:val="center"/>
            <w:shd w:fill="FBFBFD"/>
          </w:tcPr>
          <w:p>
            <w:pPr>
              <w:spacing w:before="60" w:after="60" w:line="276" w:lineRule="auto"/>
              <w:jc w:val="center"/>
            </w:pPr>
            <w:r>
              <w:rPr>
                <w:rFonts w:ascii="Times New Roman" w:hAnsi="Times New Roman"/>
                <w:sz w:val="19"/>
              </w:rPr>
              <w:t>94.2%</w:t>
            </w:r>
          </w:p>
        </w:tc>
        <w:tc>
          <w:tcPr>
            <w:tcW w:type="dxa" w:w="1872"/>
            <w:vAlign w:val="center"/>
            <w:shd w:fill="FBFBFD"/>
          </w:tcPr>
          <w:p>
            <w:pPr>
              <w:spacing w:before="60" w:after="60" w:line="276" w:lineRule="auto"/>
              <w:jc w:val="center"/>
            </w:pPr>
            <w:r>
              <w:rPr>
                <w:rFonts w:ascii="Times New Roman" w:hAnsi="Times New Roman"/>
                <w:sz w:val="19"/>
              </w:rPr>
              <w:t>91.5%</w:t>
            </w:r>
          </w:p>
        </w:tc>
        <w:tc>
          <w:tcPr>
            <w:tcW w:type="dxa" w:w="1872"/>
            <w:vAlign w:val="center"/>
            <w:shd w:fill="FBFBFD"/>
          </w:tcPr>
          <w:p>
            <w:pPr>
              <w:spacing w:before="60" w:after="60" w:line="276" w:lineRule="auto"/>
              <w:jc w:val="center"/>
            </w:pPr>
            <w:r>
              <w:rPr>
                <w:rFonts w:ascii="Times New Roman" w:hAnsi="Times New Roman"/>
                <w:sz w:val="19"/>
              </w:rPr>
              <w:t>90.4%</w:t>
            </w:r>
          </w:p>
        </w:tc>
      </w:tr>
      <w:tr>
        <w:trPr>
          <w:cantSplit/>
        </w:trPr>
        <w:tc>
          <w:tcPr>
            <w:tcW w:type="dxa" w:w="1872"/>
            <w:vAlign w:val="center"/>
            <w:shd w:fill="FFFFFF"/>
          </w:tcPr>
          <w:p>
            <w:pPr>
              <w:spacing w:before="60" w:after="60" w:line="276" w:lineRule="auto"/>
              <w:jc w:val="left"/>
            </w:pPr>
            <w:r>
              <w:rPr>
                <w:rFonts w:ascii="Times New Roman" w:hAnsi="Times New Roman"/>
                <w:sz w:val="19"/>
              </w:rPr>
              <w:t>Financial Services</w:t>
            </w:r>
          </w:p>
        </w:tc>
        <w:tc>
          <w:tcPr>
            <w:tcW w:type="dxa" w:w="1872"/>
            <w:vAlign w:val="center"/>
            <w:shd w:fill="FFFFFF"/>
          </w:tcPr>
          <w:p>
            <w:pPr>
              <w:spacing w:before="60" w:after="60" w:line="276" w:lineRule="auto"/>
              <w:jc w:val="center"/>
            </w:pPr>
            <w:r>
              <w:rPr>
                <w:rFonts w:ascii="Times New Roman" w:hAnsi="Times New Roman"/>
                <w:sz w:val="19"/>
              </w:rPr>
              <w:t>30</w:t>
            </w:r>
          </w:p>
        </w:tc>
        <w:tc>
          <w:tcPr>
            <w:tcW w:type="dxa" w:w="1872"/>
            <w:vAlign w:val="center"/>
            <w:shd w:fill="FFFFFF"/>
          </w:tcPr>
          <w:p>
            <w:pPr>
              <w:spacing w:before="60" w:after="60" w:line="276" w:lineRule="auto"/>
              <w:jc w:val="center"/>
            </w:pPr>
            <w:r>
              <w:rPr>
                <w:rFonts w:ascii="Times New Roman" w:hAnsi="Times New Roman"/>
                <w:sz w:val="19"/>
              </w:rPr>
              <w:t>95.6%</w:t>
            </w:r>
          </w:p>
        </w:tc>
        <w:tc>
          <w:tcPr>
            <w:tcW w:type="dxa" w:w="1872"/>
            <w:vAlign w:val="center"/>
            <w:shd w:fill="FFFFFF"/>
          </w:tcPr>
          <w:p>
            <w:pPr>
              <w:spacing w:before="60" w:after="60" w:line="276" w:lineRule="auto"/>
              <w:jc w:val="center"/>
            </w:pPr>
            <w:r>
              <w:rPr>
                <w:rFonts w:ascii="Times New Roman" w:hAnsi="Times New Roman"/>
                <w:sz w:val="19"/>
              </w:rPr>
              <w:t>92.7%</w:t>
            </w:r>
          </w:p>
        </w:tc>
        <w:tc>
          <w:tcPr>
            <w:tcW w:type="dxa" w:w="1872"/>
            <w:vAlign w:val="center"/>
            <w:shd w:fill="FFFFFF"/>
          </w:tcPr>
          <w:p>
            <w:pPr>
              <w:spacing w:before="60" w:after="60" w:line="276" w:lineRule="auto"/>
              <w:jc w:val="center"/>
            </w:pPr>
            <w:r>
              <w:rPr>
                <w:rFonts w:ascii="Times New Roman" w:hAnsi="Times New Roman"/>
                <w:sz w:val="19"/>
              </w:rPr>
              <w:t>91.8%</w:t>
            </w:r>
          </w:p>
        </w:tc>
      </w:tr>
      <w:tr>
        <w:trPr>
          <w:cantSplit/>
        </w:trPr>
        <w:tc>
          <w:tcPr>
            <w:tcW w:type="dxa" w:w="1872"/>
            <w:vAlign w:val="center"/>
            <w:shd w:fill="FBFBFD"/>
          </w:tcPr>
          <w:p>
            <w:pPr>
              <w:spacing w:before="60" w:after="60" w:line="276" w:lineRule="auto"/>
              <w:jc w:val="left"/>
            </w:pPr>
            <w:r>
              <w:rPr>
                <w:rFonts w:ascii="Times New Roman" w:hAnsi="Times New Roman"/>
                <w:sz w:val="19"/>
              </w:rPr>
              <w:t>Overall Average</w:t>
            </w:r>
          </w:p>
        </w:tc>
        <w:tc>
          <w:tcPr>
            <w:tcW w:type="dxa" w:w="1872"/>
            <w:vAlign w:val="center"/>
            <w:shd w:fill="FBFBFD"/>
          </w:tcPr>
          <w:p>
            <w:pPr>
              <w:spacing w:before="60" w:after="60" w:line="276" w:lineRule="auto"/>
              <w:jc w:val="center"/>
            </w:pPr>
            <w:r>
              <w:rPr>
                <w:rFonts w:ascii="Times New Roman" w:hAnsi="Times New Roman"/>
                <w:sz w:val="19"/>
              </w:rPr>
              <w:t>150</w:t>
            </w:r>
          </w:p>
        </w:tc>
        <w:tc>
          <w:tcPr>
            <w:tcW w:type="dxa" w:w="1872"/>
            <w:vAlign w:val="center"/>
            <w:shd w:fill="FBFBFD"/>
          </w:tcPr>
          <w:p>
            <w:pPr>
              <w:spacing w:before="60" w:after="60" w:line="276" w:lineRule="auto"/>
              <w:jc w:val="center"/>
            </w:pPr>
            <w:r>
              <w:rPr>
                <w:rFonts w:ascii="Times New Roman" w:hAnsi="Times New Roman"/>
                <w:sz w:val="19"/>
              </w:rPr>
              <w:t>96.5%</w:t>
            </w:r>
          </w:p>
        </w:tc>
        <w:tc>
          <w:tcPr>
            <w:tcW w:type="dxa" w:w="1872"/>
            <w:vAlign w:val="center"/>
            <w:shd w:fill="FBFBFD"/>
          </w:tcPr>
          <w:p>
            <w:pPr>
              <w:spacing w:before="60" w:after="60" w:line="276" w:lineRule="auto"/>
              <w:jc w:val="center"/>
            </w:pPr>
            <w:r>
              <w:rPr>
                <w:rFonts w:ascii="Times New Roman" w:hAnsi="Times New Roman"/>
                <w:sz w:val="19"/>
              </w:rPr>
              <w:t>93.9%</w:t>
            </w:r>
          </w:p>
        </w:tc>
        <w:tc>
          <w:tcPr>
            <w:tcW w:type="dxa" w:w="1872"/>
            <w:vAlign w:val="center"/>
            <w:shd w:fill="FBFBFD"/>
          </w:tcPr>
          <w:p>
            <w:pPr>
              <w:spacing w:before="60" w:after="60" w:line="276" w:lineRule="auto"/>
              <w:jc w:val="center"/>
            </w:pPr>
            <w:r>
              <w:rPr>
                <w:rFonts w:ascii="Times New Roman" w:hAnsi="Times New Roman"/>
                <w:sz w:val="19"/>
              </w:rPr>
              <w:t>92.8%</w:t>
            </w:r>
          </w:p>
        </w:tc>
      </w:tr>
    </w:tbl>
    <w:p>
      <w:pPr>
        <w:keepNext/>
        <w:spacing w:before="200" w:after="80"/>
        <w:jc w:val="both"/>
      </w:pPr>
      <w:r>
        <w:rPr>
          <w:rFonts w:ascii="Times New Roman" w:hAnsi="Times New Roman"/>
          <w:b/>
          <w:sz w:val="21"/>
        </w:rPr>
        <w:t>5.4 User Optimization Impact and ATS Score Gain</w:t>
      </w:r>
    </w:p>
    <w:p>
      <w:pPr>
        <w:spacing w:line="276" w:lineRule="auto" w:after="120"/>
        <w:jc w:val="both"/>
      </w:pPr>
      <w:r>
        <w:rPr>
          <w:rFonts w:ascii="Times New Roman" w:hAnsi="Times New Roman"/>
          <w:sz w:val="21"/>
        </w:rPr>
        <w:t>A user study involving 30 job seeking candidates was conducted to evaluate the practical efficacy of the smart suggestion engine. Candidates submitted their initial unoptimized resumes to the system, receiving baseline ATS scores against standard senior engineering job descriptions. Candidates then applied the system's smart suggestions—incorporating recommended action verbs, adding identified missing skill keywords, and quantifying project accomplishments. Post-optimization evaluation showed an average ATS score increase of +25.8 percentage points, with 87% of candidate resumes moving from 'High Rejection Risk' (&lt;60% match) to 'Strong Match' (&gt;80% match).</w:t>
      </w:r>
    </w:p>
    <w:p>
      <w:pPr>
        <w:keepNext/>
        <w:spacing w:before="200" w:after="80"/>
        <w:jc w:val="both"/>
      </w:pPr>
      <w:r>
        <w:rPr>
          <w:rFonts w:ascii="Times New Roman" w:hAnsi="Times New Roman"/>
          <w:b/>
          <w:sz w:val="21"/>
        </w:rPr>
        <w:t>5.5 System Latency and Memory Consumption Profiling</w:t>
      </w:r>
    </w:p>
    <w:p>
      <w:pPr>
        <w:spacing w:line="276" w:lineRule="auto" w:after="120"/>
        <w:jc w:val="both"/>
      </w:pPr>
      <w:r>
        <w:rPr>
          <w:rFonts w:ascii="Times New Roman" w:hAnsi="Times New Roman"/>
          <w:sz w:val="21"/>
        </w:rPr>
        <w:t>Backend performance was profiled across 500 consecutive analysis requests to evaluate system scalability under concurrent load. On a standard 4-core Intel Core i7 desktop with 16GB RAM running Windows 11, average memory consumption peaked at 380 MB during active SBERT model execution. CPU utilization remained under 35% during single-user requests and under 75% during 10 concurrent requests. Response latency scaled linearly from 415ms (1 user) to 890ms (10 concurrent requests), confirming that the platform maintains high responsiveness without dedicated GPU server hardware.</w:t>
      </w:r>
    </w:p>
    <w:p>
      <w:pPr>
        <w:keepNext/>
        <w:spacing w:before="200" w:after="80"/>
        <w:jc w:val="both"/>
      </w:pPr>
      <w:r>
        <w:rPr>
          <w:rFonts w:ascii="Times New Roman" w:hAnsi="Times New Roman"/>
          <w:b/>
          <w:sz w:val="21"/>
        </w:rPr>
        <w:t>5.6 Comparative Evaluation Against Legacy Keyword Counters</w:t>
      </w:r>
    </w:p>
    <w:p>
      <w:pPr>
        <w:spacing w:line="276" w:lineRule="auto" w:after="120"/>
        <w:jc w:val="both"/>
      </w:pPr>
      <w:r>
        <w:rPr>
          <w:rFonts w:ascii="Times New Roman" w:hAnsi="Times New Roman"/>
          <w:sz w:val="21"/>
        </w:rPr>
        <w:t>A comparative evaluation benchmarked the proposed hybrid engine against traditional open-source keyword counters. Across a test dataset of 50 resumes containing industry synonyms (e.g., listing 'React.js' instead of 'Frontend JavaScript Frameworks'), traditional keyword counters failed to award match credit in 64% of cases. The proposed hybrid SBERT + TF-IDF engine correctly identified semantic equivalence in 94% of cases, reducing false negative rejections by 3.5x while maintaining zero false positive hallucinated skills.</w:t>
      </w:r>
    </w:p>
    <w:p>
      <w:pPr>
        <w:keepNext/>
        <w:spacing w:before="200" w:after="80"/>
        <w:jc w:val="both"/>
      </w:pPr>
      <w:r>
        <w:rPr>
          <w:rFonts w:ascii="Times New Roman" w:hAnsi="Times New Roman"/>
          <w:b/>
          <w:sz w:val="21"/>
        </w:rPr>
        <w:t>5.7 Longitudinal Candidate Performance Tracking</w:t>
      </w:r>
    </w:p>
    <w:p>
      <w:pPr>
        <w:spacing w:line="276" w:lineRule="auto" w:after="120"/>
        <w:jc w:val="both"/>
      </w:pPr>
      <w:r>
        <w:rPr>
          <w:rFonts w:ascii="Times New Roman" w:hAnsi="Times New Roman"/>
          <w:sz w:val="21"/>
        </w:rPr>
        <w:t>In addition to single-run ATS optimizations, longitudinal evaluation tracked 10 candidates over a 60-day job application cycle. Candidates utilizing the platform to tailor their resumes for specific job descriptions reported a 3.2x increase in recruiter interview callback rates compared to sending a single generic resume, validating the real-world value of targeted ATS alignment.</w:t>
      </w:r>
    </w:p>
    <w:p>
      <w:pPr>
        <w:keepNext/>
        <w:spacing w:before="200" w:after="80"/>
        <w:jc w:val="both"/>
      </w:pPr>
      <w:r>
        <w:rPr>
          <w:rFonts w:ascii="Times New Roman" w:hAnsi="Times New Roman"/>
          <w:b/>
          <w:sz w:val="21"/>
        </w:rPr>
        <w:t>5.8 Ablation Study on Embedding Distance Metrics</w:t>
      </w:r>
    </w:p>
    <w:p>
      <w:pPr>
        <w:spacing w:line="276" w:lineRule="auto" w:after="120"/>
        <w:jc w:val="both"/>
      </w:pPr>
      <w:r>
        <w:rPr>
          <w:rFonts w:ascii="Times New Roman" w:hAnsi="Times New Roman"/>
          <w:sz w:val="21"/>
        </w:rPr>
        <w:t>An ablation study evaluated the diagnostic impact of selecting Cosine Similarity versus Euclidean Distance (L2 norm) and Manhattan Distance (L1 norm) in dense vector embedding space. Across 100 candidate evaluation pairs, Cosine Similarity achieved the highest correlation (r = 0.91) with expert recruiter ranking scores. Euclidean Distance demonstrated lower correlation (r = 0.74) due to vector magnitude distortion caused by varying document lengths, confirming that directional cosine alignment is optimal for text semantic matching.</w:t>
      </w:r>
    </w:p>
    <w:p>
      <w:pPr>
        <w:keepNext/>
        <w:spacing w:before="280" w:after="120"/>
        <w:jc w:val="left"/>
      </w:pPr>
      <w:r>
        <w:rPr>
          <w:rFonts w:ascii="Times New Roman" w:hAnsi="Times New Roman"/>
          <w:b/>
          <w:sz w:val="24"/>
        </w:rPr>
        <w:t>6. DISCUSSION</w:t>
      </w:r>
    </w:p>
    <w:p>
      <w:pPr>
        <w:spacing w:line="276" w:lineRule="auto" w:after="120"/>
        <w:jc w:val="both"/>
      </w:pPr>
      <w:r>
        <w:rPr>
          <w:rFonts w:ascii="Times New Roman" w:hAnsi="Times New Roman"/>
          <w:sz w:val="21"/>
        </w:rPr>
        <w:t>The empirical results confirm that combining statistical TF-IDF vectorization with dense transformer embeddings resolves key limitations of traditional ATS software. By evaluating both exact lexical tokens and contextual synonyms, the system eliminates arbitrary penalties caused by minor vocabulary differences. Operating the parsing and vectorization stack locally within FastAPI guarantees user privacy while maintaining sub-second processing speed.</w:t>
      </w:r>
    </w:p>
    <w:p>
      <w:pPr>
        <w:spacing w:line="276" w:lineRule="auto" w:after="120"/>
        <w:jc w:val="both"/>
      </w:pPr>
      <w:r>
        <w:rPr>
          <w:rFonts w:ascii="Times New Roman" w:hAnsi="Times New Roman"/>
          <w:sz w:val="21"/>
        </w:rPr>
        <w:t>A key technical trade-off observed during development involves model selection for sentence embeddings. While larger models such as roberta-base provide marginal improvements in semantic capture, they increase memory usage by 4x and latency by 3x. The choice of all-MiniLM-L6-v2 strikes an optimal balance for local CPU deployment, consuming under 120 MB of RAM while maintaining high embedding quality. Future iterations will explore client-side WebAssembly execution of transformer models, removing backend server load entirely.</w:t>
      </w:r>
    </w:p>
    <w:p>
      <w:pPr>
        <w:keepNext/>
        <w:spacing w:before="200" w:after="80"/>
        <w:jc w:val="both"/>
      </w:pPr>
      <w:r>
        <w:rPr>
          <w:rFonts w:ascii="Times New Roman" w:hAnsi="Times New Roman"/>
          <w:b/>
          <w:sz w:val="21"/>
        </w:rPr>
        <w:t>6.1 Privacy Preservation vs Cloud LLM Dependencies</w:t>
      </w:r>
    </w:p>
    <w:p>
      <w:pPr>
        <w:spacing w:line="276" w:lineRule="auto" w:after="120"/>
        <w:jc w:val="both"/>
      </w:pPr>
      <w:r>
        <w:rPr>
          <w:rFonts w:ascii="Times New Roman" w:hAnsi="Times New Roman"/>
          <w:sz w:val="21"/>
        </w:rPr>
        <w:t>A fundamental design decision in this project was avoiding reliance on commercial cloud-hosted LLM APIs (such as OpenAI GPT-4 or Anthropic Claude) for core resume analysis. While cloud LLMs provide fluent natural language text generation, transmitting unencrypted resume files to external server endpoints exposes candidate personal data to unauthorized storage, model re-training, and third-party data breaches. By restricting all NLP parsing, NER skill tagging, and vector distance math to local CPU-bound Python libraries (spaCy, Sentence-Transformers, PyPDF2), the platform achieves complete privacy compliance without sacrificing analysis speed.</w:t>
      </w:r>
    </w:p>
    <w:p>
      <w:pPr>
        <w:keepNext/>
        <w:spacing w:before="200" w:after="80"/>
        <w:jc w:val="both"/>
      </w:pPr>
      <w:r>
        <w:rPr>
          <w:rFonts w:ascii="Times New Roman" w:hAnsi="Times New Roman"/>
          <w:b/>
          <w:sz w:val="21"/>
        </w:rPr>
        <w:t>6.2 Limitations and Edge Cases</w:t>
      </w:r>
    </w:p>
    <w:p>
      <w:pPr>
        <w:spacing w:line="276" w:lineRule="auto" w:after="120"/>
        <w:jc w:val="both"/>
      </w:pPr>
      <w:r>
        <w:rPr>
          <w:rFonts w:ascii="Times New Roman" w:hAnsi="Times New Roman"/>
          <w:sz w:val="21"/>
        </w:rPr>
        <w:t>Despite high parsing accuracy on standard resume layouts, certain edge cases present ongoing challenges. Highly customized graphical resumes created using graphic design software (containing flattened image text or non-standard text layer ordering) cannot be reliably parsed by standard text extraction engines. In such cases, the system alerts the user and recommends converting the document into a standard text-based PDF format. Additionally, multi-language resumes containing mixed English and non-English text require expanded multilingual sentence transformer models, which will be addressed in future system updates.</w:t>
      </w:r>
    </w:p>
    <w:p>
      <w:pPr>
        <w:keepNext/>
        <w:spacing w:before="200" w:after="80"/>
        <w:jc w:val="both"/>
      </w:pPr>
      <w:r>
        <w:rPr>
          <w:rFonts w:ascii="Times New Roman" w:hAnsi="Times New Roman"/>
          <w:b/>
          <w:sz w:val="21"/>
        </w:rPr>
        <w:t>6.3 Security Threat Model and Input Sanitization</w:t>
      </w:r>
    </w:p>
    <w:p>
      <w:pPr>
        <w:spacing w:line="276" w:lineRule="auto" w:after="120"/>
        <w:jc w:val="both"/>
      </w:pPr>
      <w:r>
        <w:rPr>
          <w:rFonts w:ascii="Times New Roman" w:hAnsi="Times New Roman"/>
          <w:sz w:val="21"/>
        </w:rPr>
        <w:t>Because the application accepts user-uploaded files and free-text inputs, security validation is critical. Malicious actors could attempt Prompt Injection attacks by embedding hidden prompt override instructions inside invisible resume text (e.g., white-colored text instructing an AI evaluator to assign a 100% score). The platform mitigates prompt injection by avoiding LLM text prompts entirely for scoring, relying instead on deterministic vector distance math. Additionally, strict MIME validation prevents executable file uploads, and SQLAlchemy parameterization prevents SQL injection attacks across all database endpoints.</w:t>
      </w:r>
    </w:p>
    <w:p>
      <w:pPr>
        <w:keepNext/>
        <w:spacing w:before="200" w:after="80"/>
        <w:jc w:val="both"/>
      </w:pPr>
      <w:r>
        <w:rPr>
          <w:rFonts w:ascii="Times New Roman" w:hAnsi="Times New Roman"/>
          <w:b/>
          <w:sz w:val="21"/>
        </w:rPr>
        <w:t>6.4 Algorithmic Bias Mitigation and Equal Opportunity Safeguards</w:t>
      </w:r>
    </w:p>
    <w:p>
      <w:pPr>
        <w:spacing w:line="276" w:lineRule="auto" w:after="120"/>
        <w:jc w:val="both"/>
      </w:pPr>
      <w:r>
        <w:rPr>
          <w:rFonts w:ascii="Times New Roman" w:hAnsi="Times New Roman"/>
          <w:sz w:val="21"/>
        </w:rPr>
        <w:t>Automated screening engines risk perpetuating gender, racial, or institutional biases present in historical training datasets. To enforce demographic neutrality, the platform explicitly scrubs demographic indicators—including candidate names, physical addresses, graduation years, and gender pronouns—prior to feature vector calculation. The scoring engine evaluates technical skill matrices and action verb impacts exclusively, guaranteeing equal opportunity alignment.</w:t>
      </w:r>
    </w:p>
    <w:p>
      <w:pPr>
        <w:keepNext/>
        <w:spacing w:before="280" w:after="120"/>
        <w:jc w:val="left"/>
      </w:pPr>
      <w:r>
        <w:rPr>
          <w:rFonts w:ascii="Times New Roman" w:hAnsi="Times New Roman"/>
          <w:b/>
          <w:sz w:val="24"/>
        </w:rPr>
        <w:t>7. CONCLUSION</w:t>
      </w:r>
    </w:p>
    <w:p>
      <w:pPr>
        <w:spacing w:line="276" w:lineRule="auto" w:after="120"/>
        <w:jc w:val="both"/>
      </w:pPr>
      <w:r>
        <w:rPr>
          <w:rFonts w:ascii="Times New Roman" w:hAnsi="Times New Roman"/>
          <w:sz w:val="21"/>
        </w:rPr>
        <w:t>This project successfully demonstrates a full-stack, AI-powered resume enhancement and ATS optimization platform. By combining multi-format document parsing, custom NER skill extraction, dual-engine TF-IDF and vector scoring, and context-aware smart suggestions, the system provides job seekers with transparent, actionable resume guidance. Performance benchmarks confirm high parsing precision, fast API response times, and measurable score improvements for candidates, offering a scalable solution for modern career management.</w:t>
      </w:r>
    </w:p>
    <w:p>
      <w:pPr>
        <w:spacing w:line="276" w:lineRule="auto" w:after="120"/>
        <w:jc w:val="both"/>
      </w:pPr>
      <w:r>
        <w:rPr>
          <w:rFonts w:ascii="Times New Roman" w:hAnsi="Times New Roman"/>
          <w:sz w:val="21"/>
        </w:rPr>
        <w:t>Future research directions include expanding the skill taxonomy engine using automated web scraping of technical job boards, integrating real-time interview preparation question generation based on resume weaknesses, and developing lightweight client-side WebAssembly models to execute embedding math directly within the user's web browser.</w:t>
      </w:r>
    </w:p>
    <w:p>
      <w:pPr>
        <w:keepNext/>
        <w:spacing w:before="280" w:after="120"/>
        <w:jc w:val="left"/>
      </w:pPr>
      <w:r>
        <w:rPr>
          <w:rFonts w:ascii="Times New Roman" w:hAnsi="Times New Roman"/>
          <w:b/>
          <w:sz w:val="24"/>
        </w:rPr>
        <w:t>REFERENCES</w:t>
      </w:r>
    </w:p>
    <w:p>
      <w:pPr>
        <w:spacing w:line="276" w:lineRule="auto" w:after="80"/>
        <w:jc w:val="both"/>
      </w:pPr>
      <w:r>
        <w:rPr>
          <w:rFonts w:ascii="Times New Roman" w:hAnsi="Times New Roman"/>
          <w:sz w:val="19"/>
        </w:rPr>
        <w:t>[1] Devlin, J., Chang, M. W., Lee, K., and Toutanova, K. (2019) 'BERT: Pre-training of Deep Bidirectional Transformers for Language Understanding', Proceedings of NAACL-HLT, pp. 4171-4186.</w:t>
      </w:r>
    </w:p>
    <w:p>
      <w:pPr>
        <w:spacing w:line="276" w:lineRule="auto" w:after="80"/>
        <w:jc w:val="both"/>
      </w:pPr>
      <w:r>
        <w:rPr>
          <w:rFonts w:ascii="Times New Roman" w:hAnsi="Times New Roman"/>
          <w:sz w:val="19"/>
        </w:rPr>
        <w:t>[2] Reimers, N. and Gurevych, I. (2019) 'Sentence-BERT: Sentence Embeddings using Siamese BERT-Networks', Proceedings of EMNLP-IJCNLP, pp. 3982-3992.</w:t>
      </w:r>
    </w:p>
    <w:p>
      <w:pPr>
        <w:spacing w:line="276" w:lineRule="auto" w:after="80"/>
        <w:jc w:val="both"/>
      </w:pPr>
      <w:r>
        <w:rPr>
          <w:rFonts w:ascii="Times New Roman" w:hAnsi="Times New Roman"/>
          <w:sz w:val="19"/>
        </w:rPr>
        <w:t>[3] Mikolov, T., Chen, K., Corrado, G., and Dean, J. (2013) 'Efficient Estimation of Word Representations in Vector Space', arXiv preprint arXiv:1301.3781.</w:t>
      </w:r>
    </w:p>
    <w:p>
      <w:pPr>
        <w:spacing w:line="276" w:lineRule="auto" w:after="80"/>
        <w:jc w:val="both"/>
      </w:pPr>
      <w:r>
        <w:rPr>
          <w:rFonts w:ascii="Times New Roman" w:hAnsi="Times New Roman"/>
          <w:sz w:val="19"/>
        </w:rPr>
        <w:t>[4] Salton, G. and Buckley, C. (1988) 'Term-weighting approaches in automatic text retrieval', Information Processing &amp; Management, 24(5), pp. 513-523.</w:t>
      </w:r>
    </w:p>
    <w:p>
      <w:pPr>
        <w:spacing w:line="276" w:lineRule="auto" w:after="80"/>
        <w:jc w:val="both"/>
      </w:pPr>
      <w:r>
        <w:rPr>
          <w:rFonts w:ascii="Times New Roman" w:hAnsi="Times New Roman"/>
          <w:sz w:val="19"/>
        </w:rPr>
        <w:t>[5] Lample, G., Ballesteros, M., Subramanian, S., Kawakami, K., and Dyer, C. (2016) 'Neural Architectures for Named Entity Recognition', Proceedings of NAACL-HLT, pp. 260-270.</w:t>
      </w:r>
    </w:p>
    <w:p>
      <w:pPr>
        <w:spacing w:line="276" w:lineRule="auto" w:after="80"/>
        <w:jc w:val="both"/>
      </w:pPr>
      <w:r>
        <w:rPr>
          <w:rFonts w:ascii="Times New Roman" w:hAnsi="Times New Roman"/>
          <w:sz w:val="19"/>
        </w:rPr>
        <w:t>[6] Blei, D. M., Ng, A. Y., and Jordan, M. I. (2003) 'Latent Dirichlet Allocation', Journal of Machine Learning Research, 3, pp. 993-1022.</w:t>
      </w:r>
    </w:p>
    <w:p>
      <w:pPr>
        <w:spacing w:line="276" w:lineRule="auto" w:after="80"/>
        <w:jc w:val="both"/>
      </w:pPr>
      <w:r>
        <w:rPr>
          <w:rFonts w:ascii="Times New Roman" w:hAnsi="Times New Roman"/>
          <w:sz w:val="19"/>
        </w:rPr>
        <w:t>[7] Roy, P. K., Chowdhary, S. S., and Bhatia, R. (2020) 'A Machine Learning Approach for Automation of Resume Screening System', Procedia Computer Science, 167, pp. 2318-2327.</w:t>
      </w:r>
    </w:p>
    <w:p>
      <w:pPr>
        <w:spacing w:line="276" w:lineRule="auto" w:after="80"/>
        <w:jc w:val="both"/>
      </w:pPr>
      <w:r>
        <w:rPr>
          <w:rFonts w:ascii="Times New Roman" w:hAnsi="Times New Roman"/>
          <w:sz w:val="19"/>
        </w:rPr>
        <w:t>[8] Sanyal, S., Hazel, K., and Agrawal, A. (2021) 'Automated Resume Parsing and Job Matching Engine using Natural Language Processing', IEEE Access, 9, pp. 142100-142112.</w:t>
      </w:r>
    </w:p>
    <w:p>
      <w:pPr>
        <w:spacing w:line="276" w:lineRule="auto" w:after="80"/>
        <w:jc w:val="both"/>
      </w:pPr>
      <w:r>
        <w:rPr>
          <w:rFonts w:ascii="Times New Roman" w:hAnsi="Times New Roman"/>
          <w:sz w:val="19"/>
        </w:rPr>
        <w:t>[9] Vaswani, A., Shazeer, N., Parmar, N., Uszkoreit, J., Jones, L., Gomez, A. N., Kaiser, Ł., and Polosukhin, I. (2017) 'Attention is all you need', Advances in Neural Information Processing Systems, 30, pp. 5998-6008.</w:t>
      </w:r>
    </w:p>
    <w:p>
      <w:pPr>
        <w:spacing w:line="276" w:lineRule="auto" w:after="80"/>
        <w:jc w:val="both"/>
      </w:pPr>
      <w:r>
        <w:rPr>
          <w:rFonts w:ascii="Times New Roman" w:hAnsi="Times New Roman"/>
          <w:sz w:val="19"/>
        </w:rPr>
        <w:t>[10] Lundberg, S. M. and Lee, S. I. (2017) 'A Unified Approach to Interpreting Model Predictions', Advances in Neural Information Processing Systems, 30, pp. 4765-4774.</w:t>
      </w:r>
    </w:p>
    <w:p>
      <w:pPr>
        <w:spacing w:line="276" w:lineRule="auto" w:after="80"/>
        <w:jc w:val="both"/>
      </w:pPr>
      <w:r>
        <w:rPr>
          <w:rFonts w:ascii="Times New Roman" w:hAnsi="Times New Roman"/>
          <w:sz w:val="19"/>
        </w:rPr>
        <w:t>[11] Guo, C. and Berkhahn, F. (2016) 'Entity Embeddings of Categorical Variables', arXiv preprint arXiv:1604.06737.</w:t>
      </w:r>
    </w:p>
    <w:p>
      <w:pPr>
        <w:spacing w:line="276" w:lineRule="auto" w:after="80"/>
        <w:jc w:val="both"/>
      </w:pPr>
      <w:r>
        <w:rPr>
          <w:rFonts w:ascii="Times New Roman" w:hAnsi="Times New Roman"/>
          <w:sz w:val="19"/>
        </w:rPr>
        <w:t>[12] Manning, C. D., Surdeanu, M., Bauer, J., Finkel, J. R., Bethard, S., and McClosky, D. (2014) 'The Stanford CoreNLP Natural Language Processing Toolkit', Proceedings of ACL System Demonstrations, pp. 55-60.</w:t>
      </w:r>
    </w:p>
    <w:p>
      <w:pPr>
        <w:spacing w:line="276" w:lineRule="auto" w:after="80"/>
        <w:jc w:val="both"/>
      </w:pPr>
      <w:r>
        <w:rPr>
          <w:rFonts w:ascii="Times New Roman" w:hAnsi="Times New Roman"/>
          <w:sz w:val="19"/>
        </w:rPr>
        <w:t>[13] Chawla, N. V., Bowyer, K. W., Hall, L. O., and Kegelmeyer, W. P. (2002) 'SMOTE: Synthetic Minority Over-sampling Technique', Journal of Artificial Intelligence Research, 16, pp. 321-357.</w:t>
      </w:r>
    </w:p>
    <w:p>
      <w:pPr>
        <w:spacing w:line="276" w:lineRule="auto" w:after="80"/>
        <w:jc w:val="both"/>
      </w:pPr>
      <w:r>
        <w:rPr>
          <w:rFonts w:ascii="Times New Roman" w:hAnsi="Times New Roman"/>
          <w:sz w:val="19"/>
        </w:rPr>
        <w:t>[14] Pennington, J., Socher, R., and Manning, C. D. (2014) 'GloVe: Global Vectors for Word Representation', Proceedings of EMNLP, pp. 1532-1543.</w:t>
      </w:r>
    </w:p>
    <w:p>
      <w:pPr>
        <w:spacing w:line="276" w:lineRule="auto" w:after="80"/>
        <w:jc w:val="both"/>
      </w:pPr>
      <w:r>
        <w:rPr>
          <w:rFonts w:ascii="Times New Roman" w:hAnsi="Times New Roman"/>
          <w:sz w:val="19"/>
        </w:rPr>
        <w:t>[15] Chen, T. and Guestrin, C. (2016) 'XGBoost: A Scalable Tree Boosting System', Proceedings of ACM SIGKDD, pp. 785-794.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