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0"/>
        </w:rPr>
        <w:t>A Distributed Cryptographic Ledger and Explainable Machine Learning Framework for Real-Time Financial Fraud Detection, Perimeter Defense, and Autonomous Forensic Asset Recovery</w:t>
      </w:r>
    </w:p>
    <w:p>
      <w:pPr>
        <w:spacing w:before="0" w:after="80"/>
        <w:jc w:val="center"/>
      </w:pPr>
      <w:r>
        <w:rPr>
          <w:rFonts w:ascii="Times New Roman" w:hAnsi="Times New Roman"/>
          <w:b/>
          <w:sz w:val="22"/>
        </w:rPr>
        <w:t>NAME1, NAME2</w:t>
      </w:r>
    </w:p>
    <w:p>
      <w:pPr>
        <w:spacing w:before="0" w:after="80"/>
        <w:jc w:val="center"/>
      </w:pPr>
      <w:r>
        <w:rPr>
          <w:rFonts w:ascii="Times New Roman" w:hAnsi="Times New Roman"/>
          <w:sz w:val="19"/>
        </w:rPr>
        <w:t>1Master of Computer Science Candidate, 2Professor &amp; Research Guide, Department of Computer Science and Engineering</w:t>
      </w:r>
    </w:p>
    <w:p>
      <w:pPr>
        <w:spacing w:before="0" w:after="280"/>
        <w:jc w:val="center"/>
      </w:pPr>
      <w:r>
        <w:rPr>
          <w:rFonts w:ascii="Times New Roman" w:hAnsi="Times New Roman"/>
          <w:sz w:val="19"/>
        </w:rPr>
        <w:t>1MAIL, 2MAIL</w:t>
      </w:r>
    </w:p>
    <w:p>
      <w:pPr>
        <w:spacing w:before="240" w:after="80"/>
        <w:jc w:val="left"/>
      </w:pPr>
      <w:r>
        <w:rPr>
          <w:rFonts w:ascii="Times New Roman" w:hAnsi="Times New Roman"/>
          <w:b/>
          <w:sz w:val="21"/>
        </w:rPr>
        <w:t>ABSTRACT</w:t>
      </w:r>
    </w:p>
    <w:p>
      <w:pPr>
        <w:spacing w:line="276" w:lineRule="auto" w:after="160"/>
        <w:jc w:val="both"/>
      </w:pPr>
      <w:r>
        <w:rPr>
          <w:rFonts w:ascii="Times New Roman" w:hAnsi="Times New Roman"/>
          <w:sz w:val="21"/>
        </w:rPr>
        <w:t>Modern electronic payment networks process billions of daily transactions, making automated real-time fraud detection a critical necessity for financial institutions. However, existing centralized banking architectures rely heavily on opaque, proprietary machine learning black boxes paired with mutable database ledgers. Centralized fraud detection engines often lack transparency, preventing compliance officers and customers from understanding why legitimate transactions are blocked. Furthermore, centralized database logs remain vulnerable to internal tampering, unauthorized audit manipulation, and single-point-of-failure cyberattacks. This thesis introduces a hybrid enterprise framework that combines explainable machine learning anomaly detection with an immutable distributed cryptographic ledger. The system pairs Random Forest and Isolation Forest classifiers with SHapley Additive exPlanations (SHAP) feature attribution, surfacing real-time feature contribution scores for every flagged transaction. Concurrently, transaction state changes and security alerts are committed to a SHA-256 Merkle tree blockchain ledger, enforcing cryptographic non-repudiation and enabling automated smart-contract dispute recovery. Empirical testing on standard credit card fraud benchmark datasets demonstrates a 99.4% fraud detection accuracy, an ROC-AUC of 0.982, and end-to-end execution latencies under 18 milliseconds per transaction. The platform establishes a transparent, tamper-proof security architecture for modern digital banking infrastructure.</w:t>
      </w:r>
    </w:p>
    <w:p>
      <w:pPr>
        <w:spacing w:line="276" w:lineRule="auto" w:after="280"/>
        <w:jc w:val="both"/>
      </w:pPr>
      <w:r>
        <w:rPr>
          <w:rFonts w:ascii="Times New Roman" w:hAnsi="Times New Roman"/>
          <w:b/>
          <w:sz w:val="21"/>
        </w:rPr>
        <w:t xml:space="preserve">Keywords: </w:t>
      </w:r>
      <w:r>
        <w:rPr>
          <w:rFonts w:ascii="Times New Roman" w:hAnsi="Times New Roman"/>
          <w:sz w:val="21"/>
        </w:rPr>
        <w:t>Blockchain Ledger, Credit Card Fraud Detection, Machine Learning, Explainable AI (XAI), SHAP Waterfall Attribution, Cryptographic Merkle Trees, Smart Contracts, Banking Security.</w:t>
      </w:r>
    </w:p>
    <w:p>
      <w:pPr>
        <w:keepNext/>
        <w:spacing w:before="280" w:after="120"/>
        <w:jc w:val="left"/>
      </w:pPr>
      <w:r>
        <w:rPr>
          <w:rFonts w:ascii="Times New Roman" w:hAnsi="Times New Roman"/>
          <w:b/>
          <w:sz w:val="24"/>
        </w:rPr>
        <w:t>1. INTRODUCTION</w:t>
      </w:r>
    </w:p>
    <w:p>
      <w:pPr>
        <w:spacing w:line="276" w:lineRule="auto" w:after="120"/>
        <w:jc w:val="both"/>
      </w:pPr>
      <w:r>
        <w:rPr>
          <w:rFonts w:ascii="Times New Roman" w:hAnsi="Times New Roman"/>
          <w:sz w:val="21"/>
        </w:rPr>
        <w:t>Financial fraud presents a persistent threat to global digital commerce. With the rapid growth of e-commerce, contactless mobile payments, and decentralized financial platforms, fraudulent transaction volumes have escalated significantly. Payment card fraud accounts for tens of billions of dollars in annual losses worldwide, burdening financial institutions, merchant gateways, and individual cardholders [1]. Traditional rule-based fraud screening systems—which rely on static threshold conditions such as transaction velocity or geographic location limits—fail to adapt to modern adversarial fraud patterns. Modern fraudsters continuously alter attack strategies, deploying automated botnets, compromised credential lists, and synthetic identity fraud to bypass conventional perimeter filters [2].</w:t>
      </w:r>
    </w:p>
    <w:p>
      <w:pPr>
        <w:spacing w:line="276" w:lineRule="auto" w:after="120"/>
        <w:jc w:val="both"/>
      </w:pPr>
      <w:r>
        <w:rPr>
          <w:rFonts w:ascii="Times New Roman" w:hAnsi="Times New Roman"/>
          <w:sz w:val="21"/>
        </w:rPr>
        <w:t>To counter evolving threat patterns, financial institutions have increasingly deployed machine learning models, including deep neural networks and ensemble decision trees [3]. While supervised and unsupervised machine learning algorithms achieve high fraud detection accuracy, their deployment in commercial banking infrastructure introduces two fundamental challenges: the lack of model interpretability and the vulnerability of centralized audit logs. Machine learning classifiers frequently operate as black boxes. When a legitimate customer transaction is flagged as suspicious and blocked, the system rarely provides an interpretable justification, resulting in customer friction, delayed disputes, and high operational compliance costs [4].</w:t>
      </w:r>
    </w:p>
    <w:p>
      <w:pPr>
        <w:spacing w:line="276" w:lineRule="auto" w:after="120"/>
        <w:jc w:val="both"/>
      </w:pPr>
      <w:r>
        <w:rPr>
          <w:rFonts w:ascii="Times New Roman" w:hAnsi="Times New Roman"/>
          <w:sz w:val="21"/>
        </w:rPr>
        <w:t>The second critical limitation lies in centralized database security. Traditional core banking systems maintain transaction records in centralized SQL or NoSQL databases. If a malicious insider or external attacker gains administrative credentials to a centralized database server, transaction logs can be altered, backdated, or deleted to cover illicit asset transfers [5]. Centralized ledgers lack cryptographic non-repudiation, making forensic auditing reliant on trust in database administrators rather than mathematical proof. Furthermore, centralized fraud response mechanisms suffer from slow dispute resolution pipelines, requiring manual compliance intervention to unfreeze blocked cards or initiate chargebacks [6].</w:t>
      </w:r>
    </w:p>
    <w:p>
      <w:pPr>
        <w:spacing w:line="276" w:lineRule="auto" w:after="120"/>
        <w:jc w:val="both"/>
      </w:pPr>
      <w:r>
        <w:rPr>
          <w:rFonts w:ascii="Times New Roman" w:hAnsi="Times New Roman"/>
          <w:sz w:val="21"/>
        </w:rPr>
        <w:t>This thesis presents an integrated financial fraud detection and defense architecture that addresses both interpretability and database security. Built using React 18, FastAPI, Web3, and a dual SQLite database topology, the platform combines a machine learning anomaly classifier, an explainable AI (XAI) engine, and a permissioned cryptographic blockchain ledger [7]. When a credit card transaction is executed, the ML engine computes a real-time risk score, while the XAI module generates a SHAP waterfall attribution breakdown identifying the specific features driving the risk assessment. Simultaneously, the transaction hash, risk score, and telemetry log are committed to a SHA-256 Merkle tree block, guaranteeing permanent auditability [8].</w:t>
      </w:r>
    </w:p>
    <w:p>
      <w:pPr>
        <w:keepNext/>
        <w:spacing w:before="200" w:after="80"/>
        <w:jc w:val="both"/>
      </w:pPr>
      <w:r>
        <w:rPr>
          <w:rFonts w:ascii="Times New Roman" w:hAnsi="Times New Roman"/>
          <w:b/>
          <w:sz w:val="21"/>
        </w:rPr>
        <w:t>1.1 Adversarial Fraud Vectors in Modern Electronic Payments</w:t>
      </w:r>
    </w:p>
    <w:p>
      <w:pPr>
        <w:spacing w:line="276" w:lineRule="auto" w:after="120"/>
        <w:jc w:val="both"/>
      </w:pPr>
      <w:r>
        <w:rPr>
          <w:rFonts w:ascii="Times New Roman" w:hAnsi="Times New Roman"/>
          <w:sz w:val="21"/>
        </w:rPr>
        <w:t>Adversarial fraud patterns in modern credit card processing fall into three main categories: Card-Not-Present (CNP) fraud, Account Takeover (ATO), and Automated Micro-Transaction Probe Attacks. CNP fraud leverages stolen card numbers and CVV codes purchased from dark web marketplaces to purchase digital goods online. Account Takeover attacks utilize credential stuffing botnets to hijack legitimate online banking accounts, modifying delivery addresses and executing unauthorized transfers. Micro-transaction probing involves firing thousands of low-value ($0.01 to $1.00) automated authorizations across random card numbers to identify active accounts before executing large fraud drains. Detecting these attack vectors requires real-time feature aggregation across historical spending velocity, device signatures, and spatial anomalies.</w:t>
      </w:r>
    </w:p>
    <w:p>
      <w:pPr>
        <w:keepNext/>
        <w:spacing w:before="200" w:after="80"/>
        <w:jc w:val="both"/>
      </w:pPr>
      <w:r>
        <w:rPr>
          <w:rFonts w:ascii="Times New Roman" w:hAnsi="Times New Roman"/>
          <w:b/>
          <w:sz w:val="21"/>
        </w:rPr>
        <w:t>1.2 The Imperative for Cryptographic Non-Repudiation in Banking Audit Trails</w:t>
      </w:r>
    </w:p>
    <w:p>
      <w:pPr>
        <w:spacing w:line="276" w:lineRule="auto" w:after="120"/>
        <w:jc w:val="both"/>
      </w:pPr>
      <w:r>
        <w:rPr>
          <w:rFonts w:ascii="Times New Roman" w:hAnsi="Times New Roman"/>
          <w:sz w:val="21"/>
        </w:rPr>
        <w:t>In financial accounting and security compliance, non-repudiation guarantees that an author or system component cannot deny the authenticity of a signed transaction log. Traditional relational database audit tables, regardless of access control lists, remain subject to alteration by database administrators possessing root privileges. Cryptographic blockchain ledgers resolve this security flaw by linking consecutive transaction blocks via SHA-256 hash digests. Altering a historical transaction record inside block N invalidates the cryptographic hash of block N, breaking the hash chain for all subsequent blocks N+1 to N+k. This mathematical immutability provides irrefutable forensic evidence during post-incident investigations.</w:t>
      </w:r>
    </w:p>
    <w:p>
      <w:pPr>
        <w:keepNext/>
        <w:spacing w:before="200" w:after="80"/>
        <w:jc w:val="both"/>
      </w:pPr>
      <w:r>
        <w:rPr>
          <w:rFonts w:ascii="Times New Roman" w:hAnsi="Times New Roman"/>
          <w:b/>
          <w:sz w:val="21"/>
        </w:rPr>
        <w:t>1.3 Research Motivation and Platform Architectural Goals</w:t>
      </w:r>
    </w:p>
    <w:p>
      <w:pPr>
        <w:spacing w:line="276" w:lineRule="auto" w:after="120"/>
        <w:jc w:val="both"/>
      </w:pPr>
      <w:r>
        <w:rPr>
          <w:rFonts w:ascii="Times New Roman" w:hAnsi="Times New Roman"/>
          <w:sz w:val="21"/>
        </w:rPr>
        <w:t>The primary goal of this research is to engineer a high-throughput, explainable, and tamper-resistant financial security platform capable of operating in real-time retail payment environments. The architecture is designed to decouple immediate transaction authorization from background cryptographic ledger consensus, ensuring sub-20ms response latencies for point-of-sale terminals while committing immutable audit records asynchronously. The system incorporates an automated security auto-repair playbook that dynamically freezes compromised cards, generates forensic incident reports, and executes dispute recovery workflows without requiring manual database edits.</w:t>
      </w:r>
    </w:p>
    <w:p>
      <w:pPr>
        <w:keepNext/>
        <w:spacing w:before="200" w:after="80"/>
        <w:jc w:val="both"/>
      </w:pPr>
      <w:r>
        <w:rPr>
          <w:rFonts w:ascii="Times New Roman" w:hAnsi="Times New Roman"/>
          <w:b/>
          <w:sz w:val="21"/>
        </w:rPr>
        <w:t>1.4 OBJECTIVES</w:t>
      </w:r>
    </w:p>
    <w:p>
      <w:pPr>
        <w:pStyle w:val="ListParagraph"/>
        <w:spacing w:line="276" w:lineRule="auto" w:after="80"/>
        <w:ind w:left="360"/>
        <w:jc w:val="both"/>
      </w:pPr>
      <w:r>
        <w:rPr>
          <w:rFonts w:ascii="Times New Roman" w:hAnsi="Times New Roman"/>
          <w:sz w:val="21"/>
        </w:rPr>
        <w:t>•  Design and implement a responsive single-page web application featuring customer payment portals, manager SOC dashboards, interactive XAI diagnostic modals, and a live blockchain ledger explorer.</w:t>
      </w:r>
    </w:p>
    <w:p>
      <w:pPr>
        <w:pStyle w:val="ListParagraph"/>
        <w:spacing w:line="276" w:lineRule="auto" w:after="80"/>
        <w:ind w:left="360"/>
        <w:jc w:val="both"/>
      </w:pPr>
      <w:r>
        <w:rPr>
          <w:rFonts w:ascii="Times New Roman" w:hAnsi="Times New Roman"/>
          <w:sz w:val="21"/>
        </w:rPr>
        <w:t>•  Construct a dual-engine machine learning classifier combining Random Forest supervision and Isolation Forest anomaly scoring to evaluate credit card transaction risk accurately.</w:t>
      </w:r>
    </w:p>
    <w:p>
      <w:pPr>
        <w:pStyle w:val="ListParagraph"/>
        <w:spacing w:line="276" w:lineRule="auto" w:after="80"/>
        <w:ind w:left="360"/>
        <w:jc w:val="both"/>
      </w:pPr>
      <w:r>
        <w:rPr>
          <w:rFonts w:ascii="Times New Roman" w:hAnsi="Times New Roman"/>
          <w:sz w:val="21"/>
        </w:rPr>
        <w:t>•  Integrate SHapley Additive exPlanations (SHAP) to surface real-time feature contribution scores, providing transparent explanations for every blocked or approved transaction.</w:t>
      </w:r>
    </w:p>
    <w:p>
      <w:pPr>
        <w:pStyle w:val="ListParagraph"/>
        <w:spacing w:line="276" w:lineRule="auto" w:after="80"/>
        <w:ind w:left="360"/>
        <w:jc w:val="both"/>
      </w:pPr>
      <w:r>
        <w:rPr>
          <w:rFonts w:ascii="Times New Roman" w:hAnsi="Times New Roman"/>
          <w:sz w:val="21"/>
        </w:rPr>
        <w:t>•  Develop a custom permissioned blockchain ledger utilizing SHA-256 Merkle trees and digital signature verification to store immutable transaction audit trails.</w:t>
      </w:r>
    </w:p>
    <w:p>
      <w:pPr>
        <w:pStyle w:val="ListParagraph"/>
        <w:spacing w:line="276" w:lineRule="auto" w:after="80"/>
        <w:ind w:left="360"/>
        <w:jc w:val="both"/>
      </w:pPr>
      <w:r>
        <w:rPr>
          <w:rFonts w:ascii="Times New Roman" w:hAnsi="Times New Roman"/>
          <w:sz w:val="21"/>
        </w:rPr>
        <w:t>•  Implement a multi-database topology that isolates core banking data, security telemetry logs, and cryptographic blockchain ledgers to prevent cross-domain database compromise.</w:t>
      </w:r>
    </w:p>
    <w:p>
      <w:pPr>
        <w:pStyle w:val="ListParagraph"/>
        <w:spacing w:line="276" w:lineRule="auto" w:after="80"/>
        <w:ind w:left="360"/>
        <w:jc w:val="both"/>
      </w:pPr>
      <w:r>
        <w:rPr>
          <w:rFonts w:ascii="Times New Roman" w:hAnsi="Times New Roman"/>
          <w:sz w:val="21"/>
        </w:rPr>
        <w:t>•  Evaluate system performance on real-world credit card benchmark datasets, measuring classification precision, recall, F1-score, memory overhead, and transaction execution throughput under simulated attack scenarios.</w:t>
      </w:r>
    </w:p>
    <w:p>
      <w:pPr>
        <w:keepNext/>
        <w:spacing w:before="280" w:after="120"/>
        <w:jc w:val="left"/>
      </w:pPr>
      <w:r>
        <w:rPr>
          <w:rFonts w:ascii="Times New Roman" w:hAnsi="Times New Roman"/>
          <w:b/>
          <w:sz w:val="24"/>
        </w:rPr>
        <w:t>2. LITERATURE REVIEW</w:t>
      </w:r>
    </w:p>
    <w:p>
      <w:pPr>
        <w:spacing w:line="276" w:lineRule="auto" w:after="120"/>
        <w:jc w:val="both"/>
      </w:pPr>
      <w:r>
        <w:rPr>
          <w:rFonts w:ascii="Times New Roman" w:hAnsi="Times New Roman"/>
          <w:sz w:val="21"/>
        </w:rPr>
        <w:t>Credit card fraud detection has been a focal point of financial technology research for decades. Early fraud screening relied heavily on expert rule engines, where compliance officers manually coded decision trees based on transactional thresholds (e.g., flagging any transaction exceeding $5,000 executed outside the cardholder's home country) [8]. Bhattacharyya et al. [8] conducted a comparative study of data mining techniques in credit card fraud detection, demonstrating that statistical learning models significantly outperform rule-based systems in adapting to changing fraud behavior. However, statistical models required manual feature engineering and struggled with extreme class imbalance, where fraudulent transactions account for less than 0.2% of total transaction volume.</w:t>
      </w:r>
    </w:p>
    <w:p>
      <w:pPr>
        <w:spacing w:line="276" w:lineRule="auto" w:after="120"/>
        <w:jc w:val="both"/>
      </w:pPr>
      <w:r>
        <w:rPr>
          <w:rFonts w:ascii="Times New Roman" w:hAnsi="Times New Roman"/>
          <w:sz w:val="21"/>
        </w:rPr>
        <w:t>To handle severe class imbalance, researchers introduced specialized sampling algorithms and tree-boosting models. Chawla et al. [14] proposed SMOTE (Synthetic Minority Over-sampling Technique), synthesizing artificial minority class instances in feature space to balance class distributions prior to model training. Dal Pozzolo et al. [6] analyzed probability calibration in credit card fraud detection, proving that combining SMOTE oversampling with undersampling of legitimate transactions optimizes classifier precision-recall curves. Breiman [3] introduced Random Forests, establishing an ensemble decision tree framework that demonstrates high resilience against overfitting when trained on noisy financial data. Chen and Guestrin [13] developed XGBoost, demonstrating that gradient-boosted decision trees achieve state-of-the-art fraud classification AUC scores.</w:t>
      </w:r>
    </w:p>
    <w:p>
      <w:pPr>
        <w:spacing w:line="276" w:lineRule="auto" w:after="120"/>
        <w:jc w:val="both"/>
      </w:pPr>
      <w:r>
        <w:rPr>
          <w:rFonts w:ascii="Times New Roman" w:hAnsi="Times New Roman"/>
          <w:sz w:val="21"/>
        </w:rPr>
        <w:t>Unsupervised anomaly detection provides an alternative approach for catching novel, unseen fraud tactics. Liu et al. [4] presented Isolation Forest, an algorithm that isolates anomalies by randomly selecting features and splitting value ranges. Because anomalous fraud transactions exhibit distinct attribute profiles compared to normal spending behavior, they require fewer recursive splits to isolate, resulting in significantly shorter tree paths. Caruana and Niculescu-Mizil [11] empirically validated ensemble supervised and unsupervised approaches, proving that hybrid models combining Random Forest supervision with Isolation Forest anomaly metrics achieve superior detection coverage across both known fraud signatures and zero-day attack patterns.</w:t>
      </w:r>
    </w:p>
    <w:p>
      <w:pPr>
        <w:spacing w:line="276" w:lineRule="auto" w:after="120"/>
        <w:jc w:val="both"/>
      </w:pPr>
      <w:r>
        <w:rPr>
          <w:rFonts w:ascii="Times New Roman" w:hAnsi="Times New Roman"/>
          <w:sz w:val="21"/>
        </w:rPr>
        <w:t>The rise of modern cryptography and distributed ledger technology opened new paradigms for financial security. Nakamoto [1] conceptualized Bitcoin, proving that decentralized consensus and SHA-256 Proof-of-Work prevent double-spending without requiring a centralized banking authority. Wood [2] expanded distributed ledgers with Ethereum, introducing Turing-complete smart contracts capable of executing deterministic financial logic. Androulaki et al. [10] presented Hyperledger Fabric, demonstrating that permissioned enterprise blockchains achieve thousands of transactions per second by decoupling transaction execution from consensus ordering. Merkle [7] established the mathematical foundation of cryptographic trees, proving that Merkle root digests enable efficient, secure verification of massive data collections.</w:t>
      </w:r>
    </w:p>
    <w:p>
      <w:pPr>
        <w:spacing w:line="276" w:lineRule="auto" w:after="120"/>
        <w:jc w:val="both"/>
      </w:pPr>
      <w:r>
        <w:rPr>
          <w:rFonts w:ascii="Times New Roman" w:hAnsi="Times New Roman"/>
          <w:sz w:val="21"/>
        </w:rPr>
        <w:t>Model transparency has emerged as a regulatory requirement in modern financial systems. Privacy and consumer protection laws (such as GDPR's 'Right to Explanation') dictate that automated credit and fraud decisions must be explainable to affected individuals. Lundberg and Lee [5] unified local explanation methods under SHAP (SHapley Additive exPlanations), establishing a mathematically rigorous framework grounded in cooperative game theory. In financial fraud detection, SHAP values compute the exact numerical contribution of each transaction feature (such as amount, time delta, merchant category code, and distance from home) to the final risk score [5]. Furthermore, research in zero-knowledge proofs by Ben-Sasson et al. [12] and the Zcash team [9] highlights how cryptographic proofs can verify transaction validity without exposing private cardholder identities. Szabo [15] originally formalized smart contracts as computerized protocol execution engines, laying the framework for automated dispute recovery.</w:t>
      </w:r>
    </w:p>
    <w:p>
      <w:pPr>
        <w:keepNext/>
        <w:spacing w:before="200" w:after="80"/>
        <w:jc w:val="both"/>
      </w:pPr>
      <w:r>
        <w:rPr>
          <w:rFonts w:ascii="Times New Roman" w:hAnsi="Times New Roman"/>
          <w:b/>
          <w:sz w:val="21"/>
        </w:rPr>
        <w:t>2.1 Comparative Synthesis of Financial Ledger Security Architectures</w:t>
      </w:r>
    </w:p>
    <w:p>
      <w:pPr>
        <w:spacing w:line="276" w:lineRule="auto" w:after="120" w:before="40"/>
        <w:jc w:val="both"/>
      </w:pPr>
      <w:r>
        <w:rPr>
          <w:rFonts w:ascii="Times New Roman" w:hAnsi="Times New Roman"/>
          <w:i/>
          <w:sz w:val="19"/>
        </w:rPr>
        <w:t>Table I compares traditional centralized relational databases, public permissionless blockchains, and the proposed permissioned cryptographic ledger across six key security and operational dimensions: Transaction Throughput, Data Immutability, Feature Explainability, Query Latency, Access Control Control, and Storage Overhead. Traditional SQL databases offer high throughput (&gt;5,000 TPS) but lack cryptographic immutability. Public blockchains provide immutability but suffer from high latency (seconds to minutes) and public privacy exposure. The permissioned hybrid ledger architecture proposed in this thesis achieves optimal balance, combining 18ms query latencies with SHA-256 Merkle chain immutability.</w:t>
      </w:r>
    </w:p>
    <w:p>
      <w:pPr>
        <w:keepNext/>
        <w:spacing w:before="200" w:after="80"/>
        <w:jc w:val="both"/>
      </w:pPr>
      <w:r>
        <w:rPr>
          <w:rFonts w:ascii="Times New Roman" w:hAnsi="Times New Roman"/>
          <w:b/>
          <w:sz w:val="21"/>
        </w:rPr>
        <w:t>2.2 Gaps in Existing Automated Fraud Prevention Systems</w:t>
      </w:r>
    </w:p>
    <w:p>
      <w:pPr>
        <w:spacing w:line="276" w:lineRule="auto" w:after="120"/>
        <w:jc w:val="both"/>
      </w:pPr>
      <w:r>
        <w:rPr>
          <w:rFonts w:ascii="Times New Roman" w:hAnsi="Times New Roman"/>
          <w:sz w:val="21"/>
        </w:rPr>
        <w:t>Despite extensive research in machine learning and blockchain individually, critical integration gaps persist in existing commercial payment platforms. Commercial fraud detection software overwhelmingly focuses on real-time classification while treating database logging as a separate administrative concern. As a result, when a fraud incident occurs, security operations center (SOC) analysts must manually correlate black-box risk scores with database audit logs, delaying incident containment. Furthermore, existing systems lack automated dispute recovery loops; cardholders must undergo tedious manual phone verification to unfreeze false-positive blocks. The framework developed in this thesis resolves these gaps by uniting ML scoring, SHAP explainability, blockchain ledgering, and automated smart-contract dispute resolution into a cohesive platform.</w:t>
      </w:r>
    </w:p>
    <w:p>
      <w:pPr>
        <w:keepNext/>
        <w:spacing w:before="280" w:after="120"/>
        <w:jc w:val="left"/>
      </w:pPr>
      <w:r>
        <w:rPr>
          <w:rFonts w:ascii="Times New Roman" w:hAnsi="Times New Roman"/>
          <w:b/>
          <w:sz w:val="24"/>
        </w:rPr>
        <w:t>3. PROPOSED WORK</w:t>
      </w:r>
    </w:p>
    <w:p>
      <w:pPr>
        <w:spacing w:line="276" w:lineRule="auto" w:after="120"/>
        <w:jc w:val="both"/>
      </w:pPr>
      <w:r>
        <w:rPr>
          <w:rFonts w:ascii="Times New Roman" w:hAnsi="Times New Roman"/>
          <w:sz w:val="21"/>
        </w:rPr>
        <w:t>The proposed Blockchain Credit Card Fraud Detection and Defense Platform is architected as a decoupled, multi-tier software system. The platform separates web presentation, REST API routing, machine learning inference, cryptographic blockchain validation, and persistent storage into specialized modules. Figure 1 illustrates the overall system topology, detailing the flow of a credit card transaction from merchant submission through ML scoring, SHAP explainability, and blockchain ledger commitment.</w:t>
      </w:r>
    </w:p>
    <w:p>
      <w:pPr>
        <w:spacing w:before="200" w:after="8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Blockchain_Fraud_Detection.png"/>
                    <pic:cNvPicPr/>
                  </pic:nvPicPr>
                  <pic:blipFill>
                    <a:blip r:embed="rId9"/>
                    <a:stretch>
                      <a:fillRect/>
                    </a:stretch>
                  </pic:blipFill>
                  <pic:spPr>
                    <a:xfrm>
                      <a:off x="0" y="0"/>
                      <a:ext cx="5303520" cy="3535680"/>
                    </a:xfrm>
                    <a:prstGeom prst="rect"/>
                  </pic:spPr>
                </pic:pic>
              </a:graphicData>
            </a:graphic>
          </wp:inline>
        </w:drawing>
      </w:r>
    </w:p>
    <w:p>
      <w:pPr>
        <w:spacing w:before="80" w:after="240"/>
        <w:jc w:val="center"/>
      </w:pPr>
      <w:r>
        <w:rPr>
          <w:rFonts w:ascii="Times New Roman" w:hAnsi="Times New Roman"/>
          <w:b/>
          <w:sz w:val="19"/>
        </w:rPr>
        <w:t xml:space="preserve">Fig. </w:t>
      </w:r>
      <w:r>
        <w:rPr>
          <w:rFonts w:ascii="Times New Roman" w:hAnsi="Times New Roman"/>
          <w:sz w:val="19"/>
        </w:rPr>
        <w:t>1. System architecture and operational data flow of the Blockchain Credit Card Fraud Detection Platform.</w:t>
      </w:r>
    </w:p>
    <w:p>
      <w:pPr>
        <w:keepNext/>
        <w:spacing w:before="200" w:after="80"/>
        <w:jc w:val="both"/>
      </w:pPr>
      <w:r>
        <w:rPr>
          <w:rFonts w:ascii="Times New Roman" w:hAnsi="Times New Roman"/>
          <w:b/>
          <w:sz w:val="21"/>
        </w:rPr>
        <w:t>3.1 Presentation Layer Architecture</w:t>
      </w:r>
    </w:p>
    <w:p>
      <w:pPr>
        <w:spacing w:before="80" w:after="120"/>
      </w:pPr>
      <w:r>
        <w:rPr>
          <w:rFonts w:ascii="Times New Roman" w:hAnsi="Times New Roman"/>
          <w:sz w:val="24"/>
        </w:rPr>
        <w:t>The platform frontend incorporates a multi-role authentication gateway (Fig. 2) supporting distinct portal views for cardholders, red-team adversary simulators, and banking SOC managers.</w:t>
      </w:r>
    </w:p>
    <w:p>
      <w:pPr>
        <w:spacing w:before="16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creenshot 2026-09-21 172210.png"/>
                    <pic:cNvPicPr/>
                  </pic:nvPicPr>
                  <pic:blipFill>
                    <a:blip r:embed="rId10"/>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2. Multi-role authentication gateway for cardholders, red-team adversaries, and security managers.</w:t>
      </w:r>
    </w:p>
    <w:p>
      <w:pPr>
        <w:spacing w:line="276" w:lineRule="auto" w:after="120"/>
        <w:jc w:val="both"/>
      </w:pPr>
      <w:r>
        <w:rPr>
          <w:rFonts w:ascii="Times New Roman" w:hAnsi="Times New Roman"/>
          <w:sz w:val="21"/>
        </w:rPr>
        <w:t>The presentation layer application is constructed using React 18, Vite, and TailwindCSS, providing an interactive single-page application (SPA). The presentation layer renders four primary operational dashboards customized for distinct user roles:</w:t>
      </w:r>
    </w:p>
    <w:p>
      <w:pPr>
        <w:pStyle w:val="ListParagraph"/>
        <w:spacing w:line="276" w:lineRule="auto" w:after="80"/>
        <w:ind w:left="360"/>
        <w:jc w:val="both"/>
      </w:pPr>
      <w:r>
        <w:rPr>
          <w:rFonts w:ascii="Times New Roman" w:hAnsi="Times New Roman"/>
          <w:sz w:val="21"/>
        </w:rPr>
        <w:t>•  Customer Payment Portal: An interactive checkout interface where cardholders execute transactions, view real-time authorization statuses, and inspect personal transaction histories.</w:t>
      </w:r>
    </w:p>
    <w:p>
      <w:pPr>
        <w:pStyle w:val="ListParagraph"/>
        <w:spacing w:line="276" w:lineRule="auto" w:after="80"/>
        <w:ind w:left="360"/>
        <w:jc w:val="both"/>
      </w:pPr>
      <w:r>
        <w:rPr>
          <w:rFonts w:ascii="Times New Roman" w:hAnsi="Times New Roman"/>
          <w:sz w:val="21"/>
        </w:rPr>
        <w:t>•  Manager Security Operations Center (SOC) Dashboard: A central command view displaying real-time transaction streams, flagged fraud alerts, system throughput metrics, and threat telemetry.</w:t>
      </w:r>
    </w:p>
    <w:p>
      <w:pPr>
        <w:pStyle w:val="ListParagraph"/>
        <w:spacing w:line="276" w:lineRule="auto" w:after="80"/>
        <w:ind w:left="360"/>
        <w:jc w:val="both"/>
      </w:pPr>
      <w:r>
        <w:rPr>
          <w:rFonts w:ascii="Times New Roman" w:hAnsi="Times New Roman"/>
          <w:sz w:val="21"/>
        </w:rPr>
        <w:t>•  Explainable AI (XAI) Diagnostic Modal: An interactive analysis modal surfacing SHAP waterfall charts that break down exact feature contribution scores for any flagged transaction.</w:t>
      </w:r>
    </w:p>
    <w:p>
      <w:pPr>
        <w:pStyle w:val="ListParagraph"/>
        <w:spacing w:line="276" w:lineRule="auto" w:after="80"/>
        <w:ind w:left="360"/>
        <w:jc w:val="both"/>
      </w:pPr>
      <w:r>
        <w:rPr>
          <w:rFonts w:ascii="Times New Roman" w:hAnsi="Times New Roman"/>
          <w:sz w:val="21"/>
        </w:rPr>
        <w:t>•  Blockchain Ledger Explorer: A cryptographic inspection tool allowing compliance officers to browse committed blocks, verify SHA-256 Merkle roots, and trace transaction immutability.</w:t>
      </w:r>
    </w:p>
    <w:p>
      <w:pPr>
        <w:keepNext/>
        <w:spacing w:before="200" w:after="80"/>
        <w:jc w:val="both"/>
      </w:pPr>
      <w:r>
        <w:rPr>
          <w:rFonts w:ascii="Times New Roman" w:hAnsi="Times New Roman"/>
          <w:b/>
          <w:sz w:val="21"/>
        </w:rPr>
        <w:t>3.2 Application Layer and API Gateway</w:t>
      </w:r>
    </w:p>
    <w:p>
      <w:pPr>
        <w:spacing w:line="276" w:lineRule="auto" w:after="120"/>
        <w:jc w:val="both"/>
      </w:pPr>
      <w:r>
        <w:rPr>
          <w:rFonts w:ascii="Times New Roman" w:hAnsi="Times New Roman"/>
          <w:sz w:val="21"/>
        </w:rPr>
        <w:t>The backend application layer is implemented using FastAPI in Python. The server exposes asynchronous RESTful endpoints handling transaction processing, authentication, machine learning inference, and blockchain query services. Strict request validation is enforced using Pydantic schemas, ensuring incoming payload fields (card numbers, transaction amounts, merchant IDs, location coordinates) are validated before reaching the ML pipeline.</w:t>
      </w:r>
    </w:p>
    <w:p>
      <w:pPr>
        <w:keepNext/>
        <w:spacing w:before="200" w:after="80"/>
        <w:jc w:val="both"/>
      </w:pPr>
      <w:r>
        <w:rPr>
          <w:rFonts w:ascii="Times New Roman" w:hAnsi="Times New Roman"/>
          <w:b/>
          <w:sz w:val="21"/>
        </w:rPr>
        <w:t>3.3 Machine Learning and Explainability Engine</w:t>
      </w:r>
    </w:p>
    <w:p>
      <w:pPr>
        <w:spacing w:line="276" w:lineRule="auto" w:after="120"/>
        <w:jc w:val="both"/>
      </w:pPr>
      <w:r>
        <w:rPr>
          <w:rFonts w:ascii="Times New Roman" w:hAnsi="Times New Roman"/>
          <w:sz w:val="21"/>
        </w:rPr>
        <w:t>The core classification pipeline employs a dual-engine machine learning model to evaluate transaction risk:</w:t>
      </w:r>
    </w:p>
    <w:p>
      <w:pPr>
        <w:spacing w:line="276" w:lineRule="auto" w:after="120"/>
        <w:jc w:val="both"/>
      </w:pPr>
      <w:r>
        <w:rPr>
          <w:rFonts w:ascii="Times New Roman" w:hAnsi="Times New Roman"/>
          <w:b/>
          <w:sz w:val="21"/>
        </w:rPr>
        <w:t xml:space="preserve">Supervised Model: </w:t>
      </w:r>
      <w:r>
        <w:rPr>
          <w:rFonts w:ascii="Times New Roman" w:hAnsi="Times New Roman"/>
          <w:sz w:val="21"/>
        </w:rPr>
        <w:t>Supervised Random Forest Classifier. A pre-trained ensemble of 100 decision trees evaluates transaction features against historical fraud patterns. The Random Forest model outputs a supervised probability score P_RF in the range [0, 1].</w:t>
      </w:r>
    </w:p>
    <w:p>
      <w:pPr>
        <w:spacing w:line="276" w:lineRule="auto" w:after="120"/>
        <w:jc w:val="both"/>
      </w:pPr>
      <w:r>
        <w:rPr>
          <w:rFonts w:ascii="Times New Roman" w:hAnsi="Times New Roman"/>
          <w:b/>
          <w:sz w:val="21"/>
        </w:rPr>
        <w:t xml:space="preserve">Unsupervised Anomaly: </w:t>
      </w:r>
      <w:r>
        <w:rPr>
          <w:rFonts w:ascii="Times New Roman" w:hAnsi="Times New Roman"/>
          <w:sz w:val="21"/>
        </w:rPr>
        <w:t>Unsupervised Isolation Forest Anomaly Detector. Operating in parallel, an Isolation Forest model calculates an anomaly score S_IF based on tree isolation depth, identifying unusual spending behaviors that deviate from normal baseline patterns.</w:t>
      </w:r>
    </w:p>
    <w:p>
      <w:pPr>
        <w:spacing w:line="276" w:lineRule="auto" w:after="120"/>
        <w:jc w:val="both"/>
      </w:pPr>
      <w:r>
        <w:rPr>
          <w:rFonts w:ascii="Times New Roman" w:hAnsi="Times New Roman"/>
          <w:b/>
          <w:sz w:val="21"/>
        </w:rPr>
        <w:t xml:space="preserve">Composite Scoring: </w:t>
      </w:r>
      <w:r>
        <w:rPr>
          <w:rFonts w:ascii="Times New Roman" w:hAnsi="Times New Roman"/>
          <w:sz w:val="21"/>
        </w:rPr>
        <w:t>Hybrid Composite Risk Score. The system calculates a unified risk score R_final = alpha * P_RF + (1 - alpha) * S_IF, where alpha=0.70 weighs supervised pattern matching while reserving 30% weight for novel anomaly detection.</w:t>
      </w:r>
    </w:p>
    <w:p>
      <w:pPr>
        <w:spacing w:line="276" w:lineRule="auto" w:after="120"/>
        <w:jc w:val="both"/>
      </w:pPr>
      <w:r>
        <w:rPr>
          <w:rFonts w:ascii="Times New Roman" w:hAnsi="Times New Roman"/>
          <w:b/>
          <w:sz w:val="21"/>
        </w:rPr>
        <w:t xml:space="preserve">XAI Attribution: </w:t>
      </w:r>
      <w:r>
        <w:rPr>
          <w:rFonts w:ascii="Times New Roman" w:hAnsi="Times New Roman"/>
          <w:sz w:val="21"/>
        </w:rPr>
        <w:t>SHAP Feature Attribution. For every transaction where R_final exceeds the threat threshold (0.65), the SHAP explainer computes exact Shapley values across all input features. The SHAP mathematical formulation is defined as:</w:t>
      </w:r>
    </w:p>
    <w:p>
      <w:pPr>
        <w:spacing w:line="276" w:lineRule="auto" w:after="120"/>
        <w:jc w:val="both"/>
      </w:pPr>
      <w:r>
        <w:rPr>
          <w:rFonts w:ascii="Times New Roman" w:hAnsi="Times New Roman"/>
          <w:b/>
          <w:sz w:val="21"/>
        </w:rPr>
        <w:t xml:space="preserve">Shapley Math Formula: </w:t>
      </w:r>
      <w:r>
        <w:rPr>
          <w:rFonts w:ascii="Times New Roman" w:hAnsi="Times New Roman"/>
          <w:sz w:val="21"/>
        </w:rPr>
        <w:t>phi_i(v) = sum_{S subset N \ {i}} (|S|! * (|N| - |S| - 1)!) / |N|! * (v(S union {i}) - v(S)), where phi_i represents the marginal feature importance of feature i across all feature subsets S.</w:t>
      </w:r>
    </w:p>
    <w:p>
      <w:pPr>
        <w:keepNext/>
        <w:spacing w:before="200" w:after="80"/>
        <w:jc w:val="both"/>
      </w:pPr>
      <w:r>
        <w:rPr>
          <w:rFonts w:ascii="Times New Roman" w:hAnsi="Times New Roman"/>
          <w:b/>
          <w:sz w:val="21"/>
        </w:rPr>
        <w:t>3.4 Cryptographic Blockchain Ledger Architecture</w:t>
      </w:r>
    </w:p>
    <w:p>
      <w:pPr>
        <w:spacing w:line="276" w:lineRule="auto" w:after="120"/>
        <w:jc w:val="both"/>
      </w:pPr>
      <w:r>
        <w:rPr>
          <w:rFonts w:ascii="Times New Roman" w:hAnsi="Times New Roman"/>
          <w:sz w:val="21"/>
        </w:rPr>
        <w:t>Transactions cleared by the application layer are submitted to a permissioned cryptographic blockchain ledger. Each block consists of a block header and a transaction payload list. The block header contains: Block Index, Timestamp, Previous Block Hash (SHA-256), Merkle Root Hash (SHA-256), and Consensus Nonce. The Merkle root is computed by recursively hashing transaction pairs using SHA-256:</w:t>
      </w:r>
    </w:p>
    <w:p>
      <w:pPr>
        <w:spacing w:line="276" w:lineRule="auto" w:after="120"/>
        <w:jc w:val="both"/>
      </w:pPr>
      <w:r>
        <w:rPr>
          <w:rFonts w:ascii="Times New Roman" w:hAnsi="Times New Roman"/>
          <w:sz w:val="21"/>
        </w:rPr>
        <w:t>H_parent = SHA256(H_child_left || H_child_right). This cryptographic binary tree structure ensures that any unauthorized modification to a single transaction payload alters the computed Merkle root, immediately invalidating the block across the network.</w:t>
      </w:r>
    </w:p>
    <w:p>
      <w:pPr>
        <w:keepNext/>
        <w:spacing w:before="200" w:after="80"/>
        <w:jc w:val="both"/>
      </w:pPr>
      <w:r>
        <w:rPr>
          <w:rFonts w:ascii="Times New Roman" w:hAnsi="Times New Roman"/>
          <w:b/>
          <w:sz w:val="21"/>
        </w:rPr>
        <w:t>3.5 Physical Database Separation Topology</w:t>
      </w:r>
    </w:p>
    <w:p>
      <w:pPr>
        <w:spacing w:line="276" w:lineRule="auto" w:after="120"/>
        <w:jc w:val="both"/>
      </w:pPr>
      <w:r>
        <w:rPr>
          <w:rFonts w:ascii="Times New Roman" w:hAnsi="Times New Roman"/>
          <w:sz w:val="21"/>
        </w:rPr>
        <w:t>To eliminate single-point-of-failure vulnerabilities and enforce data isolation, the platform deploys three physically distinct database stores:</w:t>
      </w:r>
    </w:p>
    <w:p>
      <w:pPr>
        <w:pStyle w:val="ListParagraph"/>
        <w:spacing w:line="276" w:lineRule="auto" w:after="80"/>
        <w:ind w:left="360"/>
        <w:jc w:val="both"/>
      </w:pPr>
      <w:r>
        <w:rPr>
          <w:rFonts w:ascii="Times New Roman" w:hAnsi="Times New Roman"/>
          <w:sz w:val="21"/>
        </w:rPr>
        <w:t>•  Bank Core Database (bank_core.db): Stores customer account profiles, card balances, encrypted authentication credentials, and core card governance states.</w:t>
      </w:r>
    </w:p>
    <w:p>
      <w:pPr>
        <w:pStyle w:val="ListParagraph"/>
        <w:spacing w:line="276" w:lineRule="auto" w:after="80"/>
        <w:ind w:left="360"/>
        <w:jc w:val="both"/>
      </w:pPr>
      <w:r>
        <w:rPr>
          <w:rFonts w:ascii="Times New Roman" w:hAnsi="Times New Roman"/>
          <w:sz w:val="21"/>
        </w:rPr>
        <w:t>•  SOC Security Database (soc_security.db): Maintains real-time threat logs, defender playbook execution traces, attacker probe records, and system telemetry metrics.</w:t>
      </w:r>
    </w:p>
    <w:p>
      <w:pPr>
        <w:pStyle w:val="ListParagraph"/>
        <w:spacing w:line="276" w:lineRule="auto" w:after="80"/>
        <w:ind w:left="360"/>
        <w:jc w:val="both"/>
      </w:pPr>
      <w:r>
        <w:rPr>
          <w:rFonts w:ascii="Times New Roman" w:hAnsi="Times New Roman"/>
          <w:sz w:val="21"/>
        </w:rPr>
        <w:t>•  Blockchain Ledger Database (blockchain_ledger.db): Persists immutable block headers, Merkle tree nodes, and signed transaction cryptographic hashes.</w:t>
      </w:r>
    </w:p>
    <w:p>
      <w:pPr>
        <w:spacing w:before="240" w:after="60"/>
        <w:jc w:val="center"/>
      </w:pPr>
      <w:r>
        <w:rPr>
          <w:rFonts w:ascii="Times New Roman" w:hAnsi="Times New Roman"/>
          <w:b/>
          <w:sz w:val="20"/>
        </w:rPr>
        <w:t>TABLE I</w:t>
      </w:r>
    </w:p>
    <w:p>
      <w:pPr>
        <w:spacing w:before="40" w:after="120"/>
        <w:jc w:val="center"/>
      </w:pPr>
      <w:r>
        <w:rPr>
          <w:rFonts w:ascii="Times New Roman" w:hAnsi="Times New Roman"/>
          <w:b/>
          <w:sz w:val="21"/>
        </w:rPr>
        <w:t>SYSTEM COMPONENTS AND TECHNICAL SPECIFICATIONS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shd w:fill="F2F4F7"/>
          </w:tcPr>
          <w:p>
            <w:pPr>
              <w:spacing w:before="80" w:after="80"/>
              <w:jc w:val="center"/>
            </w:pPr>
            <w:r>
              <w:rPr>
                <w:rFonts w:ascii="Times New Roman" w:hAnsi="Times New Roman"/>
                <w:b/>
                <w:sz w:val="19"/>
              </w:rPr>
              <w:t>System Component</w:t>
            </w:r>
          </w:p>
        </w:tc>
        <w:tc>
          <w:tcPr>
            <w:tcW w:type="dxa" w:w="2340"/>
            <w:vAlign w:val="center"/>
            <w:shd w:fill="F2F4F7"/>
          </w:tcPr>
          <w:p>
            <w:pPr>
              <w:spacing w:before="80" w:after="80"/>
              <w:jc w:val="center"/>
            </w:pPr>
            <w:r>
              <w:rPr>
                <w:rFonts w:ascii="Times New Roman" w:hAnsi="Times New Roman"/>
                <w:b/>
                <w:sz w:val="19"/>
              </w:rPr>
              <w:t>Technology / Specification</w:t>
            </w:r>
          </w:p>
        </w:tc>
        <w:tc>
          <w:tcPr>
            <w:tcW w:type="dxa" w:w="2340"/>
            <w:vAlign w:val="center"/>
            <w:shd w:fill="F2F4F7"/>
          </w:tcPr>
          <w:p>
            <w:pPr>
              <w:spacing w:before="80" w:after="80"/>
              <w:jc w:val="center"/>
            </w:pPr>
            <w:r>
              <w:rPr>
                <w:rFonts w:ascii="Times New Roman" w:hAnsi="Times New Roman"/>
                <w:b/>
                <w:sz w:val="19"/>
              </w:rPr>
              <w:t>Primary Function</w:t>
            </w:r>
          </w:p>
        </w:tc>
        <w:tc>
          <w:tcPr>
            <w:tcW w:type="dxa" w:w="2340"/>
            <w:vAlign w:val="center"/>
            <w:shd w:fill="F2F4F7"/>
          </w:tcPr>
          <w:p>
            <w:pPr>
              <w:spacing w:before="80" w:after="80"/>
              <w:jc w:val="center"/>
            </w:pPr>
            <w:r>
              <w:rPr>
                <w:rFonts w:ascii="Times New Roman" w:hAnsi="Times New Roman"/>
                <w:b/>
                <w:sz w:val="19"/>
              </w:rPr>
              <w:t>Target Latency</w:t>
            </w:r>
          </w:p>
        </w:tc>
      </w:tr>
      <w:tr>
        <w:trPr>
          <w:cantSplit/>
        </w:trPr>
        <w:tc>
          <w:tcPr>
            <w:tcW w:type="dxa" w:w="2340"/>
            <w:vAlign w:val="center"/>
            <w:shd w:fill="FFFFFF"/>
          </w:tcPr>
          <w:p>
            <w:pPr>
              <w:spacing w:before="60" w:after="60" w:line="276" w:lineRule="auto"/>
              <w:jc w:val="left"/>
            </w:pPr>
            <w:r>
              <w:rPr>
                <w:rFonts w:ascii="Times New Roman" w:hAnsi="Times New Roman"/>
                <w:sz w:val="19"/>
              </w:rPr>
              <w:t>Frontend Interface</w:t>
            </w:r>
          </w:p>
        </w:tc>
        <w:tc>
          <w:tcPr>
            <w:tcW w:type="dxa" w:w="2340"/>
            <w:vAlign w:val="center"/>
            <w:shd w:fill="FFFFFF"/>
          </w:tcPr>
          <w:p>
            <w:pPr>
              <w:spacing w:before="60" w:after="60" w:line="276" w:lineRule="auto"/>
              <w:jc w:val="center"/>
            </w:pPr>
            <w:r>
              <w:rPr>
                <w:rFonts w:ascii="Times New Roman" w:hAnsi="Times New Roman"/>
                <w:sz w:val="19"/>
              </w:rPr>
              <w:t>React 18 / Vite / Tailwind</w:t>
            </w:r>
          </w:p>
        </w:tc>
        <w:tc>
          <w:tcPr>
            <w:tcW w:type="dxa" w:w="2340"/>
            <w:vAlign w:val="center"/>
            <w:shd w:fill="FFFFFF"/>
          </w:tcPr>
          <w:p>
            <w:pPr>
              <w:spacing w:before="60" w:after="60" w:line="276" w:lineRule="auto"/>
              <w:jc w:val="left"/>
            </w:pPr>
            <w:r>
              <w:rPr>
                <w:rFonts w:ascii="Times New Roman" w:hAnsi="Times New Roman"/>
                <w:sz w:val="19"/>
              </w:rPr>
              <w:t>Customer payment &amp; SOC UI</w:t>
            </w:r>
          </w:p>
        </w:tc>
        <w:tc>
          <w:tcPr>
            <w:tcW w:type="dxa" w:w="2340"/>
            <w:vAlign w:val="center"/>
            <w:shd w:fill="FFFFFF"/>
          </w:tcPr>
          <w:p>
            <w:pPr>
              <w:spacing w:before="60" w:after="60" w:line="276" w:lineRule="auto"/>
              <w:jc w:val="center"/>
            </w:pPr>
            <w:r>
              <w:rPr>
                <w:rFonts w:ascii="Times New Roman" w:hAnsi="Times New Roman"/>
                <w:sz w:val="19"/>
              </w:rPr>
              <w:t>&lt; 40 ms</w:t>
            </w:r>
          </w:p>
        </w:tc>
      </w:tr>
      <w:tr>
        <w:trPr>
          <w:cantSplit/>
        </w:trPr>
        <w:tc>
          <w:tcPr>
            <w:tcW w:type="dxa" w:w="2340"/>
            <w:vAlign w:val="center"/>
            <w:shd w:fill="FBFBFD"/>
          </w:tcPr>
          <w:p>
            <w:pPr>
              <w:spacing w:before="60" w:after="60" w:line="276" w:lineRule="auto"/>
              <w:jc w:val="left"/>
            </w:pPr>
            <w:r>
              <w:rPr>
                <w:rFonts w:ascii="Times New Roman" w:hAnsi="Times New Roman"/>
                <w:sz w:val="19"/>
              </w:rPr>
              <w:t>Backend API Gateway</w:t>
            </w:r>
          </w:p>
        </w:tc>
        <w:tc>
          <w:tcPr>
            <w:tcW w:type="dxa" w:w="2340"/>
            <w:vAlign w:val="center"/>
            <w:shd w:fill="FBFBFD"/>
          </w:tcPr>
          <w:p>
            <w:pPr>
              <w:spacing w:before="60" w:after="60" w:line="276" w:lineRule="auto"/>
              <w:jc w:val="left"/>
            </w:pPr>
            <w:r>
              <w:rPr>
                <w:rFonts w:ascii="Times New Roman" w:hAnsi="Times New Roman"/>
                <w:sz w:val="19"/>
              </w:rPr>
              <w:t>FastAPI / Uvicorn</w:t>
            </w:r>
          </w:p>
        </w:tc>
        <w:tc>
          <w:tcPr>
            <w:tcW w:type="dxa" w:w="2340"/>
            <w:vAlign w:val="center"/>
            <w:shd w:fill="FBFBFD"/>
          </w:tcPr>
          <w:p>
            <w:pPr>
              <w:spacing w:before="60" w:after="60" w:line="276" w:lineRule="auto"/>
              <w:jc w:val="left"/>
            </w:pPr>
            <w:r>
              <w:rPr>
                <w:rFonts w:ascii="Times New Roman" w:hAnsi="Times New Roman"/>
                <w:sz w:val="19"/>
              </w:rPr>
              <w:t>Async request routing &amp; validation</w:t>
            </w:r>
          </w:p>
        </w:tc>
        <w:tc>
          <w:tcPr>
            <w:tcW w:type="dxa" w:w="2340"/>
            <w:vAlign w:val="center"/>
            <w:shd w:fill="FBFBFD"/>
          </w:tcPr>
          <w:p>
            <w:pPr>
              <w:spacing w:before="60" w:after="60" w:line="276" w:lineRule="auto"/>
              <w:jc w:val="center"/>
            </w:pPr>
            <w:r>
              <w:rPr>
                <w:rFonts w:ascii="Times New Roman" w:hAnsi="Times New Roman"/>
                <w:sz w:val="19"/>
              </w:rPr>
              <w:t>&lt; 12 ms</w:t>
            </w:r>
          </w:p>
        </w:tc>
      </w:tr>
      <w:tr>
        <w:trPr>
          <w:cantSplit/>
        </w:trPr>
        <w:tc>
          <w:tcPr>
            <w:tcW w:type="dxa" w:w="2340"/>
            <w:vAlign w:val="center"/>
            <w:shd w:fill="FFFFFF"/>
          </w:tcPr>
          <w:p>
            <w:pPr>
              <w:spacing w:before="60" w:after="60" w:line="276" w:lineRule="auto"/>
              <w:jc w:val="left"/>
            </w:pPr>
            <w:r>
              <w:rPr>
                <w:rFonts w:ascii="Times New Roman" w:hAnsi="Times New Roman"/>
                <w:sz w:val="19"/>
              </w:rPr>
              <w:t>ML Fraud Classifier</w:t>
            </w:r>
          </w:p>
        </w:tc>
        <w:tc>
          <w:tcPr>
            <w:tcW w:type="dxa" w:w="2340"/>
            <w:vAlign w:val="center"/>
            <w:shd w:fill="FFFFFF"/>
          </w:tcPr>
          <w:p>
            <w:pPr>
              <w:spacing w:before="60" w:after="60" w:line="276" w:lineRule="auto"/>
              <w:jc w:val="left"/>
            </w:pPr>
            <w:r>
              <w:rPr>
                <w:rFonts w:ascii="Times New Roman" w:hAnsi="Times New Roman"/>
                <w:sz w:val="19"/>
              </w:rPr>
              <w:t>Scikit-Learn / Random Forest</w:t>
            </w:r>
          </w:p>
        </w:tc>
        <w:tc>
          <w:tcPr>
            <w:tcW w:type="dxa" w:w="2340"/>
            <w:vAlign w:val="center"/>
            <w:shd w:fill="FFFFFF"/>
          </w:tcPr>
          <w:p>
            <w:pPr>
              <w:spacing w:before="60" w:after="60" w:line="276" w:lineRule="auto"/>
              <w:jc w:val="left"/>
            </w:pPr>
            <w:r>
              <w:rPr>
                <w:rFonts w:ascii="Times New Roman" w:hAnsi="Times New Roman"/>
                <w:sz w:val="19"/>
              </w:rPr>
              <w:t>Supervised pattern classification</w:t>
            </w:r>
          </w:p>
        </w:tc>
        <w:tc>
          <w:tcPr>
            <w:tcW w:type="dxa" w:w="2340"/>
            <w:vAlign w:val="center"/>
            <w:shd w:fill="FFFFFF"/>
          </w:tcPr>
          <w:p>
            <w:pPr>
              <w:spacing w:before="60" w:after="60" w:line="276" w:lineRule="auto"/>
              <w:jc w:val="center"/>
            </w:pPr>
            <w:r>
              <w:rPr>
                <w:rFonts w:ascii="Times New Roman" w:hAnsi="Times New Roman"/>
                <w:sz w:val="19"/>
              </w:rPr>
              <w:t>8 - 14 ms</w:t>
            </w:r>
          </w:p>
        </w:tc>
      </w:tr>
      <w:tr>
        <w:trPr>
          <w:cantSplit/>
        </w:trPr>
        <w:tc>
          <w:tcPr>
            <w:tcW w:type="dxa" w:w="2340"/>
            <w:vAlign w:val="center"/>
            <w:shd w:fill="FBFBFD"/>
          </w:tcPr>
          <w:p>
            <w:pPr>
              <w:spacing w:before="60" w:after="60" w:line="276" w:lineRule="auto"/>
              <w:jc w:val="left"/>
            </w:pPr>
            <w:r>
              <w:rPr>
                <w:rFonts w:ascii="Times New Roman" w:hAnsi="Times New Roman"/>
                <w:sz w:val="19"/>
              </w:rPr>
              <w:t>Anomaly Engine</w:t>
            </w:r>
          </w:p>
        </w:tc>
        <w:tc>
          <w:tcPr>
            <w:tcW w:type="dxa" w:w="2340"/>
            <w:vAlign w:val="center"/>
            <w:shd w:fill="FBFBFD"/>
          </w:tcPr>
          <w:p>
            <w:pPr>
              <w:spacing w:before="60" w:after="60" w:line="276" w:lineRule="auto"/>
              <w:jc w:val="left"/>
            </w:pPr>
            <w:r>
              <w:rPr>
                <w:rFonts w:ascii="Times New Roman" w:hAnsi="Times New Roman"/>
                <w:sz w:val="19"/>
              </w:rPr>
              <w:t>Isolation Forest</w:t>
            </w:r>
          </w:p>
        </w:tc>
        <w:tc>
          <w:tcPr>
            <w:tcW w:type="dxa" w:w="2340"/>
            <w:vAlign w:val="center"/>
            <w:shd w:fill="FBFBFD"/>
          </w:tcPr>
          <w:p>
            <w:pPr>
              <w:spacing w:before="60" w:after="60" w:line="276" w:lineRule="auto"/>
              <w:jc w:val="left"/>
            </w:pPr>
            <w:r>
              <w:rPr>
                <w:rFonts w:ascii="Times New Roman" w:hAnsi="Times New Roman"/>
                <w:sz w:val="19"/>
              </w:rPr>
              <w:t>Unsupervised anomaly detection</w:t>
            </w:r>
          </w:p>
        </w:tc>
        <w:tc>
          <w:tcPr>
            <w:tcW w:type="dxa" w:w="2340"/>
            <w:vAlign w:val="center"/>
            <w:shd w:fill="FBFBFD"/>
          </w:tcPr>
          <w:p>
            <w:pPr>
              <w:spacing w:before="60" w:after="60" w:line="276" w:lineRule="auto"/>
              <w:jc w:val="center"/>
            </w:pPr>
            <w:r>
              <w:rPr>
                <w:rFonts w:ascii="Times New Roman" w:hAnsi="Times New Roman"/>
                <w:sz w:val="19"/>
              </w:rPr>
              <w:t>5 - 10 ms</w:t>
            </w:r>
          </w:p>
        </w:tc>
      </w:tr>
      <w:tr>
        <w:trPr>
          <w:cantSplit/>
        </w:trPr>
        <w:tc>
          <w:tcPr>
            <w:tcW w:type="dxa" w:w="2340"/>
            <w:vAlign w:val="center"/>
            <w:shd w:fill="FFFFFF"/>
          </w:tcPr>
          <w:p>
            <w:pPr>
              <w:spacing w:before="60" w:after="60" w:line="276" w:lineRule="auto"/>
              <w:jc w:val="left"/>
            </w:pPr>
            <w:r>
              <w:rPr>
                <w:rFonts w:ascii="Times New Roman" w:hAnsi="Times New Roman"/>
                <w:sz w:val="19"/>
              </w:rPr>
              <w:t>XAI Explainer</w:t>
            </w:r>
          </w:p>
        </w:tc>
        <w:tc>
          <w:tcPr>
            <w:tcW w:type="dxa" w:w="2340"/>
            <w:vAlign w:val="center"/>
            <w:shd w:fill="FFFFFF"/>
          </w:tcPr>
          <w:p>
            <w:pPr>
              <w:spacing w:before="60" w:after="60" w:line="276" w:lineRule="auto"/>
              <w:jc w:val="left"/>
            </w:pPr>
            <w:r>
              <w:rPr>
                <w:rFonts w:ascii="Times New Roman" w:hAnsi="Times New Roman"/>
                <w:sz w:val="19"/>
              </w:rPr>
              <w:t>SHAP TreeExplainer</w:t>
            </w:r>
          </w:p>
        </w:tc>
        <w:tc>
          <w:tcPr>
            <w:tcW w:type="dxa" w:w="2340"/>
            <w:vAlign w:val="center"/>
            <w:shd w:fill="FFFFFF"/>
          </w:tcPr>
          <w:p>
            <w:pPr>
              <w:spacing w:before="60" w:after="60" w:line="276" w:lineRule="auto"/>
              <w:jc w:val="left"/>
            </w:pPr>
            <w:r>
              <w:rPr>
                <w:rFonts w:ascii="Times New Roman" w:hAnsi="Times New Roman"/>
                <w:sz w:val="19"/>
              </w:rPr>
              <w:t>Local feature contribution math</w:t>
            </w:r>
          </w:p>
        </w:tc>
        <w:tc>
          <w:tcPr>
            <w:tcW w:type="dxa" w:w="2340"/>
            <w:vAlign w:val="center"/>
            <w:shd w:fill="FFFFFF"/>
          </w:tcPr>
          <w:p>
            <w:pPr>
              <w:spacing w:before="60" w:after="60" w:line="276" w:lineRule="auto"/>
              <w:jc w:val="center"/>
            </w:pPr>
            <w:r>
              <w:rPr>
                <w:rFonts w:ascii="Times New Roman" w:hAnsi="Times New Roman"/>
                <w:sz w:val="19"/>
              </w:rPr>
              <w:t>15 - 25 ms</w:t>
            </w:r>
          </w:p>
        </w:tc>
      </w:tr>
      <w:tr>
        <w:trPr>
          <w:cantSplit/>
        </w:trPr>
        <w:tc>
          <w:tcPr>
            <w:tcW w:type="dxa" w:w="2340"/>
            <w:vAlign w:val="center"/>
            <w:shd w:fill="FBFBFD"/>
          </w:tcPr>
          <w:p>
            <w:pPr>
              <w:spacing w:before="60" w:after="60" w:line="276" w:lineRule="auto"/>
              <w:jc w:val="left"/>
            </w:pPr>
            <w:r>
              <w:rPr>
                <w:rFonts w:ascii="Times New Roman" w:hAnsi="Times New Roman"/>
                <w:sz w:val="19"/>
              </w:rPr>
              <w:t>Cryptographic Ledger</w:t>
            </w:r>
          </w:p>
        </w:tc>
        <w:tc>
          <w:tcPr>
            <w:tcW w:type="dxa" w:w="2340"/>
            <w:vAlign w:val="center"/>
            <w:shd w:fill="FBFBFD"/>
          </w:tcPr>
          <w:p>
            <w:pPr>
              <w:spacing w:before="60" w:after="60" w:line="276" w:lineRule="auto"/>
              <w:jc w:val="center"/>
            </w:pPr>
            <w:r>
              <w:rPr>
                <w:rFonts w:ascii="Times New Roman" w:hAnsi="Times New Roman"/>
                <w:sz w:val="19"/>
              </w:rPr>
              <w:t>Python hashlib / SHA-256</w:t>
            </w:r>
          </w:p>
        </w:tc>
        <w:tc>
          <w:tcPr>
            <w:tcW w:type="dxa" w:w="2340"/>
            <w:vAlign w:val="center"/>
            <w:shd w:fill="FBFBFD"/>
          </w:tcPr>
          <w:p>
            <w:pPr>
              <w:spacing w:before="60" w:after="60" w:line="276" w:lineRule="auto"/>
              <w:jc w:val="left"/>
            </w:pPr>
            <w:r>
              <w:rPr>
                <w:rFonts w:ascii="Times New Roman" w:hAnsi="Times New Roman"/>
                <w:sz w:val="19"/>
              </w:rPr>
              <w:t>Merkle tree block commitment</w:t>
            </w:r>
          </w:p>
        </w:tc>
        <w:tc>
          <w:tcPr>
            <w:tcW w:type="dxa" w:w="2340"/>
            <w:vAlign w:val="center"/>
            <w:shd w:fill="FBFBFD"/>
          </w:tcPr>
          <w:p>
            <w:pPr>
              <w:spacing w:before="60" w:after="60" w:line="276" w:lineRule="auto"/>
              <w:jc w:val="center"/>
            </w:pPr>
            <w:r>
              <w:rPr>
                <w:rFonts w:ascii="Times New Roman" w:hAnsi="Times New Roman"/>
                <w:sz w:val="19"/>
              </w:rPr>
              <w:t>10 - 18 ms</w:t>
            </w:r>
          </w:p>
        </w:tc>
      </w:tr>
      <w:tr>
        <w:trPr>
          <w:cantSplit/>
        </w:trPr>
        <w:tc>
          <w:tcPr>
            <w:tcW w:type="dxa" w:w="2340"/>
            <w:vAlign w:val="center"/>
            <w:shd w:fill="FFFFFF"/>
          </w:tcPr>
          <w:p>
            <w:pPr>
              <w:spacing w:before="60" w:after="60" w:line="276" w:lineRule="auto"/>
              <w:jc w:val="left"/>
            </w:pPr>
            <w:r>
              <w:rPr>
                <w:rFonts w:ascii="Times New Roman" w:hAnsi="Times New Roman"/>
                <w:sz w:val="19"/>
              </w:rPr>
              <w:t>Database Tier</w:t>
            </w:r>
          </w:p>
        </w:tc>
        <w:tc>
          <w:tcPr>
            <w:tcW w:type="dxa" w:w="2340"/>
            <w:vAlign w:val="center"/>
            <w:shd w:fill="FFFFFF"/>
          </w:tcPr>
          <w:p>
            <w:pPr>
              <w:spacing w:before="60" w:after="60" w:line="276" w:lineRule="auto"/>
              <w:jc w:val="center"/>
            </w:pPr>
            <w:r>
              <w:rPr>
                <w:rFonts w:ascii="Times New Roman" w:hAnsi="Times New Roman"/>
                <w:sz w:val="19"/>
              </w:rPr>
              <w:t>SQLite 3 (Triple Isolated DBs)</w:t>
            </w:r>
          </w:p>
        </w:tc>
        <w:tc>
          <w:tcPr>
            <w:tcW w:type="dxa" w:w="2340"/>
            <w:vAlign w:val="center"/>
            <w:shd w:fill="FFFFFF"/>
          </w:tcPr>
          <w:p>
            <w:pPr>
              <w:spacing w:before="60" w:after="60" w:line="276" w:lineRule="auto"/>
              <w:jc w:val="left"/>
            </w:pPr>
            <w:r>
              <w:rPr>
                <w:rFonts w:ascii="Times New Roman" w:hAnsi="Times New Roman"/>
                <w:sz w:val="19"/>
              </w:rPr>
              <w:t>Isolated state &amp; log storage</w:t>
            </w:r>
          </w:p>
        </w:tc>
        <w:tc>
          <w:tcPr>
            <w:tcW w:type="dxa" w:w="2340"/>
            <w:vAlign w:val="center"/>
            <w:shd w:fill="FFFFFF"/>
          </w:tcPr>
          <w:p>
            <w:pPr>
              <w:spacing w:before="60" w:after="60" w:line="276" w:lineRule="auto"/>
              <w:jc w:val="center"/>
            </w:pPr>
            <w:r>
              <w:rPr>
                <w:rFonts w:ascii="Times New Roman" w:hAnsi="Times New Roman"/>
                <w:sz w:val="19"/>
              </w:rPr>
              <w:t>&lt; 8 ms</w:t>
            </w:r>
          </w:p>
        </w:tc>
      </w:tr>
    </w:tbl>
    <w:p>
      <w:pPr>
        <w:keepNext/>
        <w:spacing w:before="200" w:after="80"/>
        <w:jc w:val="both"/>
      </w:pPr>
      <w:r>
        <w:rPr>
          <w:rFonts w:ascii="Times New Roman" w:hAnsi="Times New Roman"/>
          <w:b/>
          <w:sz w:val="21"/>
        </w:rPr>
        <w:t>3.6 REST API Specifications and Router Topology</w:t>
      </w:r>
    </w:p>
    <w:p>
      <w:pPr>
        <w:spacing w:line="276" w:lineRule="auto" w:after="120"/>
        <w:jc w:val="both"/>
      </w:pPr>
      <w:r>
        <w:rPr>
          <w:rFonts w:ascii="Times New Roman" w:hAnsi="Times New Roman"/>
          <w:sz w:val="21"/>
        </w:rPr>
        <w:t>The FastAPI backend exposes structured RESTful endpoints handling customer transactions, SOC security operations, and blockchain verification. Key endpoints include:</w:t>
      </w:r>
    </w:p>
    <w:p>
      <w:pPr>
        <w:pStyle w:val="ListParagraph"/>
        <w:spacing w:line="276" w:lineRule="auto" w:after="80"/>
        <w:ind w:left="360"/>
        <w:jc w:val="both"/>
      </w:pPr>
      <w:r>
        <w:rPr>
          <w:rFonts w:ascii="Times New Roman" w:hAnsi="Times New Roman"/>
          <w:sz w:val="21"/>
        </w:rPr>
        <w:t>•  POST /api/v1/transaction/process: Ingests credit card transaction payloads, executing dual-engine ML scoring, SHAP explainability, and blockchain block commitment.</w:t>
      </w:r>
    </w:p>
    <w:p>
      <w:pPr>
        <w:pStyle w:val="ListParagraph"/>
        <w:spacing w:line="276" w:lineRule="auto" w:after="80"/>
        <w:ind w:left="360"/>
        <w:jc w:val="both"/>
      </w:pPr>
      <w:r>
        <w:rPr>
          <w:rFonts w:ascii="Times New Roman" w:hAnsi="Times New Roman"/>
          <w:sz w:val="21"/>
        </w:rPr>
        <w:t>•  GET /api/v1/blockchain/blocks: Retrieves committed block headers and Merkle root hashes for compliance auditing.</w:t>
      </w:r>
    </w:p>
    <w:p>
      <w:pPr>
        <w:pStyle w:val="ListParagraph"/>
        <w:spacing w:line="276" w:lineRule="auto" w:after="80"/>
        <w:ind w:left="360"/>
        <w:jc w:val="both"/>
      </w:pPr>
      <w:r>
        <w:rPr>
          <w:rFonts w:ascii="Times New Roman" w:hAnsi="Times New Roman"/>
          <w:sz w:val="21"/>
        </w:rPr>
        <w:t>•  POST /api/v1/security/auto-repair: Triggers automated defender playbooks to freeze compromised cards and reset security credentials upon high-risk detection.</w:t>
      </w:r>
    </w:p>
    <w:p>
      <w:pPr>
        <w:pStyle w:val="ListParagraph"/>
        <w:spacing w:line="276" w:lineRule="auto" w:after="80"/>
        <w:ind w:left="360"/>
        <w:jc w:val="both"/>
      </w:pPr>
      <w:r>
        <w:rPr>
          <w:rFonts w:ascii="Times New Roman" w:hAnsi="Times New Roman"/>
          <w:sz w:val="21"/>
        </w:rPr>
        <w:t>•  GET /api/v1/analytics/fraud-metrics: Returns real-time SOC metrics including total transaction volume, fraud block rates, and model accuracy breakdown.</w:t>
      </w:r>
    </w:p>
    <w:p>
      <w:pPr>
        <w:keepNext/>
        <w:spacing w:before="200" w:after="80"/>
        <w:jc w:val="left"/>
      </w:pPr>
      <w:r>
        <w:rPr>
          <w:rFonts w:ascii="Times New Roman" w:hAnsi="Times New Roman"/>
          <w:b/>
          <w:sz w:val="21"/>
        </w:rPr>
        <w:t>3.7 Component Implementation Code Snippets</w:t>
      </w:r>
    </w:p>
    <w:p>
      <w:pPr>
        <w:spacing w:line="276" w:lineRule="auto" w:after="120" w:before="80"/>
        <w:jc w:val="left"/>
      </w:pPr>
      <w:r>
        <w:rPr>
          <w:rFonts w:ascii="Times New Roman" w:hAnsi="Times New Roman"/>
          <w:sz w:val="21"/>
        </w:rPr>
        <w:t>Below is the backend Python implementation of the Merkle tree block hashing and Random Forest fraud evaluation service:</w:t>
      </w:r>
    </w:p>
    <w:p>
      <w:pPr>
        <w:spacing w:line="252" w:lineRule="auto" w:after="40" w:before="20"/>
        <w:ind w:left="360"/>
        <w:jc w:val="left"/>
      </w:pPr>
      <w:r>
        <w:rPr>
          <w:rFonts w:ascii="Consolas" w:hAnsi="Consolas"/>
          <w:b/>
          <w:sz w:val="18"/>
        </w:rPr>
        <w:t xml:space="preserve">Merkle Tree Code: </w:t>
      </w:r>
      <w:r>
        <w:rPr>
          <w:rFonts w:ascii="Consolas" w:hAnsi="Consolas"/>
          <w:sz w:val="18"/>
        </w:rPr>
        <w:t>def compute_merkle_root(transactions):</w:t>
        <w:br/>
        <w:t xml:space="preserve">    hashes = [hashlib.sha256(json.dumps(tx, sort_keys=True).encode()).hexdigest() for tx in transactions]</w:t>
        <w:br/>
        <w:t xml:space="preserve">    while len(hashes) &gt; 1:</w:t>
        <w:br/>
        <w:t xml:space="preserve">        if len(hashes) % 2 != 0:</w:t>
        <w:br/>
        <w:t xml:space="preserve">            hashes.append(hashes[-1])</w:t>
        <w:br/>
        <w:t xml:space="preserve">        hashes = [hashlib.sha256((hashes[i] + hashes[i+1]).encode()).hexdigest() for i in range(0, len(hashes), 2)]</w:t>
        <w:br/>
        <w:t xml:space="preserve">    return hashes[0] if hashes else ''</w:t>
      </w:r>
    </w:p>
    <w:p>
      <w:pPr>
        <w:keepNext/>
        <w:spacing w:before="200" w:after="80"/>
        <w:jc w:val="both"/>
      </w:pPr>
      <w:r>
        <w:rPr>
          <w:rFonts w:ascii="Times New Roman" w:hAnsi="Times New Roman"/>
          <w:b/>
          <w:sz w:val="21"/>
        </w:rPr>
        <w:t>3.8 Automated Security Auto-Repair and Card Governance</w:t>
      </w:r>
    </w:p>
    <w:p>
      <w:pPr>
        <w:spacing w:line="276" w:lineRule="auto" w:after="120"/>
        <w:jc w:val="both"/>
      </w:pPr>
      <w:r>
        <w:rPr>
          <w:rFonts w:ascii="Times New Roman" w:hAnsi="Times New Roman"/>
          <w:sz w:val="21"/>
        </w:rPr>
        <w:t>When the composite fraud risk score R_final exceeds the critical threshold (0.85), the platform activates an automated Security Auto-Repair workflow. The system instantly updates the card governance status in bank_core.db from 'Active' to 'Frozen', revokes active session tokens, and logs an incident event in soc_security.db. Simultaneously, an automated dispute recovery smart contract is initialized, sending the cardholder a secure verification link to confirm or dispute the transaction.</w:t>
      </w:r>
    </w:p>
    <w:p>
      <w:pPr>
        <w:keepNext/>
        <w:spacing w:before="200" w:after="80"/>
        <w:jc w:val="both"/>
      </w:pPr>
      <w:r>
        <w:rPr>
          <w:rFonts w:ascii="Times New Roman" w:hAnsi="Times New Roman"/>
          <w:b/>
          <w:sz w:val="21"/>
        </w:rPr>
        <w:t>3.9 Smart Contract Verification Rules and State Transitions</w:t>
      </w:r>
    </w:p>
    <w:p>
      <w:pPr>
        <w:spacing w:line="276" w:lineRule="auto" w:after="120"/>
        <w:jc w:val="both"/>
      </w:pPr>
      <w:r>
        <w:rPr>
          <w:rFonts w:ascii="Times New Roman" w:hAnsi="Times New Roman"/>
          <w:sz w:val="21"/>
        </w:rPr>
        <w:t>The dispute recovery smart contract enforces a finite state machine (FSM) controlling card governance. Card states transition through four discrete phases: 'ACTIVE', 'SUSPENDED_RISK', 'FROZEN_FRAUD', and 'RESTORED_VERIFIED'. When an anomaly triggers 'SUSPENDED_RISK', the smart contract grants a 15-minute challenge window during which the cardholder can submit a multi-factor authentication (MFA) cryptographic signature. Successful signature verification transitions the state directly to 'RESTORED_VERIFIED', unfreezing the card instantly without requiring manual bank employee intervention.</w:t>
      </w:r>
    </w:p>
    <w:p>
      <w:pPr>
        <w:keepNext/>
        <w:spacing w:before="200" w:after="80"/>
        <w:jc w:val="both"/>
      </w:pPr>
      <w:r>
        <w:rPr>
          <w:rFonts w:ascii="Times New Roman" w:hAnsi="Times New Roman"/>
          <w:b/>
          <w:sz w:val="21"/>
        </w:rPr>
        <w:t>3.10 Cryptographic Hash Chain Verification Mechanics</w:t>
      </w:r>
    </w:p>
    <w:p>
      <w:pPr>
        <w:spacing w:line="276" w:lineRule="auto" w:after="120"/>
        <w:jc w:val="both"/>
      </w:pPr>
      <w:r>
        <w:rPr>
          <w:rFonts w:ascii="Times New Roman" w:hAnsi="Times New Roman"/>
          <w:sz w:val="21"/>
        </w:rPr>
        <w:t>To verify ledger integrity across distributed banking nodes, the system implements an automated block validation procedure. Given a sequence of N blocks B_1, B_2, ..., B_N, the validator checks two cryptographic invariants: first, Hash(B_k.header) must match B_{k+1}.previous_hash for all 1 &lt;= k &lt; N; second, recomputing the Merkle root of B_k.transactions must exactly match B_k.merkle_root. If any validator node detects a discrepancy in either invariant, the node flags the local database as corrupted and resynchronizes its state from peer consensus nodes.</w:t>
      </w:r>
    </w:p>
    <w:p>
      <w:pPr>
        <w:keepNext/>
        <w:spacing w:before="200" w:after="80"/>
        <w:jc w:val="both"/>
      </w:pPr>
      <w:r>
        <w:rPr>
          <w:rFonts w:ascii="Times New Roman" w:hAnsi="Times New Roman"/>
          <w:b/>
          <w:sz w:val="21"/>
        </w:rPr>
        <w:t>3.11 Feature Scaling and Haversine Distance Mechanics</w:t>
      </w:r>
    </w:p>
    <w:p>
      <w:pPr>
        <w:spacing w:line="276" w:lineRule="auto" w:after="120"/>
        <w:jc w:val="both"/>
      </w:pPr>
      <w:r>
        <w:rPr>
          <w:rFonts w:ascii="Times New Roman" w:hAnsi="Times New Roman"/>
          <w:sz w:val="21"/>
        </w:rPr>
        <w:t>Numerical attributes undergo Z-score standardization prior to model inference. Spatial velocity computation relies on the Haversine formula to compute great-circle distance between consecutive transaction coordinates (lat1, lon1) and (lat2, lon2):</w:t>
      </w:r>
    </w:p>
    <w:p>
      <w:pPr>
        <w:spacing w:line="276" w:lineRule="auto" w:after="120"/>
        <w:jc w:val="both"/>
      </w:pPr>
      <w:r>
        <w:rPr>
          <w:rFonts w:ascii="Times New Roman" w:hAnsi="Times New Roman"/>
          <w:sz w:val="21"/>
        </w:rPr>
        <w:t>a = sin^2(dlat/2) + cos(lat1)*cos(lat2)*sin^2(dlon/2), c = 2*atan2(sqrt(a), sqrt(1-a)), d = R_earth * c. Dividing spatial distance d by time delta dt yields velocity v = d / dt. Transactions exhibiting v &gt; 500 mph trigger automatic spatial velocity risk flags.</w:t>
      </w:r>
    </w:p>
    <w:p>
      <w:pPr>
        <w:keepNext/>
        <w:spacing w:before="200" w:after="80"/>
        <w:jc w:val="both"/>
      </w:pPr>
      <w:r>
        <w:rPr>
          <w:rFonts w:ascii="Times New Roman" w:hAnsi="Times New Roman"/>
          <w:b/>
          <w:sz w:val="21"/>
        </w:rPr>
        <w:t>3.12 Isolation Forest Mathematical Formulation of Path Length Anomaly Calculation</w:t>
      </w:r>
    </w:p>
    <w:p>
      <w:pPr>
        <w:spacing w:line="276" w:lineRule="auto" w:after="120"/>
        <w:jc w:val="both"/>
      </w:pPr>
      <w:r>
        <w:rPr>
          <w:rFonts w:ascii="Times New Roman" w:hAnsi="Times New Roman"/>
          <w:sz w:val="21"/>
        </w:rPr>
        <w:t>The Isolation Forest anomaly detector isolates fraud instances by constructing random binary isolation trees. For a sample dataset of n instances, the average path length of unsuccessful searches in a Binary Search Tree (BST) represents the normalizing factor c(n), calculated as:</w:t>
      </w:r>
    </w:p>
    <w:p>
      <w:pPr>
        <w:spacing w:line="276" w:lineRule="auto" w:after="120"/>
        <w:jc w:val="both"/>
      </w:pPr>
      <w:r>
        <w:rPr>
          <w:rFonts w:ascii="Times New Roman" w:hAnsi="Times New Roman"/>
          <w:sz w:val="21"/>
        </w:rPr>
        <w:t>c(n) = 2 * (ln(n - 1) + 0.5772156649) - (2 * (n - 1) / n), where 0.5772156649 is Euler's constant. The anomaly score s(x, n) of an input feature vector x is defined by the exponential equation:</w:t>
      </w:r>
    </w:p>
    <w:p>
      <w:pPr>
        <w:spacing w:line="276" w:lineRule="auto" w:after="120"/>
        <w:jc w:val="both"/>
      </w:pPr>
      <w:r>
        <w:rPr>
          <w:rFonts w:ascii="Times New Roman" w:hAnsi="Times New Roman"/>
          <w:sz w:val="21"/>
        </w:rPr>
        <w:t>s(x, n) = 2^(- E(h(x)) / c(n)), where E(h(x)) is the average path length of x across all isolation trees. An anomaly score s(x, n) approaching 1.0 indicates an unmistakable spending anomaly, whereas s(x, n) &lt; 0.5 indicates normal baseline transaction behavior.</w:t>
      </w:r>
    </w:p>
    <w:p>
      <w:pPr>
        <w:keepNext/>
        <w:spacing w:before="200" w:after="80"/>
        <w:jc w:val="both"/>
      </w:pPr>
      <w:r>
        <w:rPr>
          <w:rFonts w:ascii="Times New Roman" w:hAnsi="Times New Roman"/>
          <w:b/>
          <w:sz w:val="21"/>
        </w:rPr>
        <w:t>3.13 Kernel-Level eBPF Packet Filtering at Banking Edge Gateways</w:t>
      </w:r>
    </w:p>
    <w:p>
      <w:pPr>
        <w:spacing w:line="276" w:lineRule="auto" w:after="120"/>
        <w:jc w:val="both"/>
      </w:pPr>
      <w:r>
        <w:rPr>
          <w:rFonts w:ascii="Times New Roman" w:hAnsi="Times New Roman"/>
          <w:sz w:val="21"/>
        </w:rPr>
        <w:t>To protect backend REST microservices from high-volume Denial of Service (DoS) attacks during fraud spikes, the banking gateway embeds Extended Berkeley Packet Filter (eBPF) bytecode inside the Linux kernel network ingress driver (`XDP_DRV` mode). The eBPF filter inspects incoming TCP socket headers at layer 2/3, parsing IP source addresses and authorization token signatures without copying network buffers into user space memory. Suspicious botnet IPs exceeding 1,000 authorization calls per second are dropped directly at the Network Interface Card (NIC) driver layer, preserving API gateway CPU cycles for valid payment processing.</w:t>
      </w:r>
    </w:p>
    <w:p>
      <w:pPr>
        <w:keepNext/>
        <w:spacing w:before="200" w:after="80"/>
        <w:jc w:val="both"/>
      </w:pPr>
      <w:r>
        <w:rPr>
          <w:rFonts w:ascii="Times New Roman" w:hAnsi="Times New Roman"/>
          <w:b/>
          <w:sz w:val="21"/>
        </w:rPr>
        <w:t>3.14 Zero-Knowledge Proof (zk-SNARK) Mechanics for Private Fraud Auditing</w:t>
      </w:r>
    </w:p>
    <w:p>
      <w:pPr>
        <w:spacing w:line="276" w:lineRule="auto" w:after="120"/>
        <w:jc w:val="both"/>
      </w:pPr>
      <w:r>
        <w:rPr>
          <w:rFonts w:ascii="Times New Roman" w:hAnsi="Times New Roman"/>
          <w:sz w:val="21"/>
        </w:rPr>
        <w:t>To enable external financial regulators and audit firms to verify that a banking node correctly executed fraud risk scoring without exposing private cardholder transaction values or account balances, the system generates non-interactive zero-knowledge proofs (zk-SNARKs). Using a arithmetic circuit parameterization C_zk, the local bank prover generates a succinct proof pi = Prove(pk, x_private, w_public). The external auditor verifies pi using public key vk in O(1) time without learning any component of x_private. This cryptographic zero-knowledge layer guarantees compliance with privacy mandates while establishing total auditability.</w:t>
      </w:r>
    </w:p>
    <w:p>
      <w:pPr>
        <w:keepNext/>
        <w:spacing w:before="280" w:after="120"/>
        <w:jc w:val="left"/>
      </w:pPr>
      <w:r>
        <w:rPr>
          <w:rFonts w:ascii="Times New Roman" w:hAnsi="Times New Roman"/>
          <w:b/>
          <w:sz w:val="24"/>
        </w:rPr>
        <w:t>4. WORKING PRINCIPLE</w:t>
      </w:r>
    </w:p>
    <w:p>
      <w:pPr>
        <w:spacing w:line="276" w:lineRule="auto" w:after="120"/>
        <w:jc w:val="both"/>
      </w:pPr>
      <w:r>
        <w:rPr>
          <w:rFonts w:ascii="Times New Roman" w:hAnsi="Times New Roman"/>
          <w:sz w:val="21"/>
        </w:rPr>
        <w:t>The operational working principle of the platform follows a five-stage processing lifecycle for every submitted credit card payment.</w:t>
      </w:r>
    </w:p>
    <w:p>
      <w:pPr>
        <w:keepNext/>
        <w:spacing w:before="200" w:after="80"/>
        <w:jc w:val="both"/>
      </w:pPr>
      <w:r>
        <w:rPr>
          <w:rFonts w:ascii="Times New Roman" w:hAnsi="Times New Roman"/>
          <w:b/>
          <w:sz w:val="21"/>
        </w:rPr>
        <w:t>4.1 Transaction Ingestion and Feature Pre-processing</w:t>
      </w:r>
    </w:p>
    <w:p>
      <w:pPr>
        <w:spacing w:before="80" w:after="120"/>
      </w:pPr>
      <w:r>
        <w:rPr>
          <w:rFonts w:ascii="Times New Roman" w:hAnsi="Times New Roman"/>
          <w:sz w:val="24"/>
        </w:rPr>
        <w:t>Cardholders manage payment credentials, review live transaction statements, and configure active card security controls through the dedicated banking portal depicted in Fig. 3.</w:t>
      </w:r>
    </w:p>
    <w:p>
      <w:pPr>
        <w:spacing w:before="16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creenshot 2026-09-21 172252.png"/>
                    <pic:cNvPicPr/>
                  </pic:nvPicPr>
                  <pic:blipFill>
                    <a:blip r:embed="rId11"/>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3. Cardholder portal displaying real-time banking transactions and active card security toggles.</w:t>
      </w:r>
    </w:p>
    <w:p>
      <w:pPr>
        <w:spacing w:line="276" w:lineRule="auto" w:after="120"/>
        <w:jc w:val="both"/>
      </w:pPr>
      <w:r>
        <w:rPr>
          <w:rFonts w:ascii="Times New Roman" w:hAnsi="Times New Roman"/>
          <w:sz w:val="21"/>
        </w:rPr>
        <w:t>When a transaction is initiated at a merchant terminal or e-commerce checkout, the payload is transmitted to the FastAPI gateway. The pre-processing pipeline scales numerical features (transaction amount, cardholder age, account tenure) using StandardScaler and computes temporal time-delta features (seconds elapsed since previous transaction). Spatial features (distance between current merchant location and cardholder primary billing address) are calculated using the Haversine formula.</w:t>
      </w:r>
    </w:p>
    <w:p>
      <w:pPr>
        <w:keepNext/>
        <w:spacing w:before="200" w:after="80"/>
        <w:jc w:val="both"/>
      </w:pPr>
      <w:r>
        <w:rPr>
          <w:rFonts w:ascii="Times New Roman" w:hAnsi="Times New Roman"/>
          <w:b/>
          <w:sz w:val="21"/>
        </w:rPr>
        <w:t>4.2 Dual-Engine ML Risk Evaluation</w:t>
      </w:r>
    </w:p>
    <w:p>
      <w:pPr>
        <w:spacing w:before="80" w:after="120"/>
      </w:pPr>
      <w:r>
        <w:rPr>
          <w:rFonts w:ascii="Times New Roman" w:hAnsi="Times New Roman"/>
          <w:sz w:val="24"/>
        </w:rPr>
        <w:t>To evaluate system resilience, the red-team adversary simulator interface (Fig. 4) enables security engineers to configure custom fraud vectors, target reconnaissance, and payload delivery pipelines.</w:t>
      </w:r>
    </w:p>
    <w:p>
      <w:pPr>
        <w:spacing w:before="16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creenshot 2026-09-21 172259.png"/>
                    <pic:cNvPicPr/>
                  </pic:nvPicPr>
                  <pic:blipFill>
                    <a:blip r:embed="rId12"/>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4. Red-team exploit simulator interface for automated fraud vector testing.</w:t>
      </w:r>
    </w:p>
    <w:p>
      <w:pPr>
        <w:spacing w:line="276" w:lineRule="auto" w:after="120"/>
        <w:jc w:val="both"/>
      </w:pPr>
      <w:r>
        <w:rPr>
          <w:rFonts w:ascii="Times New Roman" w:hAnsi="Times New Roman"/>
          <w:sz w:val="21"/>
        </w:rPr>
        <w:t>The pre-processed feature vector is passed simultaneously to the Random Forest and Isolation Forest models. Random Forest evaluates the vector against 100 decision trees trained on historical fraud signatures. Isolation Forest calculates how rapidly the instance is isolated across random feature splits. The outputs are combined into the composite risk score R_final. If R_final &lt; 0.35, the transaction is approved instantly. If 0.35 &lt;= R_final &lt; 0.65, the transaction is flagged for soft verification. If R_final &gt;= 0.65, the transaction is blocked and routed to the XAI engine.</w:t>
      </w:r>
    </w:p>
    <w:p>
      <w:pPr>
        <w:keepNext/>
        <w:spacing w:before="200" w:after="80"/>
        <w:jc w:val="both"/>
      </w:pPr>
      <w:r>
        <w:rPr>
          <w:rFonts w:ascii="Times New Roman" w:hAnsi="Times New Roman"/>
          <w:b/>
          <w:sz w:val="21"/>
        </w:rPr>
        <w:t>4.3 SHAP Feature Attribution Generation</w:t>
      </w:r>
    </w:p>
    <w:p>
      <w:pPr>
        <w:spacing w:before="80" w:after="120"/>
      </w:pPr>
      <w:r>
        <w:rPr>
          <w:rFonts w:ascii="Times New Roman" w:hAnsi="Times New Roman"/>
          <w:sz w:val="24"/>
        </w:rPr>
        <w:t>As shown in Fig. 5, the Fraud Operations Center dashboard consolidates global loss prevention metrics, saved capital tallies, and local SHAP feature attributions for rapid incident mitigation.</w:t>
      </w:r>
    </w:p>
    <w:p>
      <w:pPr>
        <w:spacing w:before="16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creenshot 2026-09-21 172312.png"/>
                    <pic:cNvPicPr/>
                  </pic:nvPicPr>
                  <pic:blipFill>
                    <a:blip r:embed="rId13"/>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5. Fraud Operations Center dashboard with real-time risk metrics and SHAP explainability insights.</w:t>
      </w:r>
    </w:p>
    <w:p>
      <w:pPr>
        <w:spacing w:line="276" w:lineRule="auto" w:after="120"/>
        <w:jc w:val="both"/>
      </w:pPr>
      <w:r>
        <w:rPr>
          <w:rFonts w:ascii="Times New Roman" w:hAnsi="Times New Roman"/>
          <w:sz w:val="21"/>
        </w:rPr>
        <w:t>For blocked or flagged transactions, the TreeExplainer module calculates local Shapley values across all input attributes. The top contributing features driving the fraud score (e.g., 'Transaction Amount &gt; $4,500' contributing +0.38 to risk score, 'Location Distance &gt; 2,000 miles' contributing +0.27) are extracted and formatted into a structured JSON payload for rendering in the React XAI modal.</w:t>
      </w:r>
    </w:p>
    <w:p>
      <w:pPr>
        <w:keepNext/>
        <w:spacing w:before="200" w:after="80"/>
        <w:jc w:val="both"/>
      </w:pPr>
      <w:r>
        <w:rPr>
          <w:rFonts w:ascii="Times New Roman" w:hAnsi="Times New Roman"/>
          <w:b/>
          <w:sz w:val="21"/>
        </w:rPr>
        <w:t>4.4 Blockchain Block Commitment and Merkle Verification</w:t>
      </w:r>
    </w:p>
    <w:p>
      <w:pPr>
        <w:spacing w:line="276" w:lineRule="auto" w:after="120"/>
        <w:jc w:val="both"/>
      </w:pPr>
      <w:r>
        <w:rPr>
          <w:rFonts w:ascii="Times New Roman" w:hAnsi="Times New Roman"/>
          <w:sz w:val="21"/>
        </w:rPr>
        <w:t>Once authorization decisioning is complete, the transaction record—comprising transaction ID, masked card number, amount, risk score, decision status, and timestamp—is added to the pending block transaction pool. When the pool reaches the block size limit (or upon a 5-second timeout), a new block is mined. The block generator computes the SHA-256 Merkle root digest, appends the previous block hash, and saves the block to blockchain_ledger.db.</w:t>
      </w:r>
    </w:p>
    <w:p>
      <w:pPr>
        <w:keepNext/>
        <w:spacing w:before="200" w:after="80"/>
        <w:jc w:val="left"/>
      </w:pPr>
      <w:r>
        <w:rPr>
          <w:rFonts w:ascii="Times New Roman" w:hAnsi="Times New Roman"/>
          <w:b/>
          <w:sz w:val="21"/>
        </w:rPr>
        <w:t>4.5 Execution Pseudocode of E2E Fraud Lifecycle</w:t>
      </w:r>
    </w:p>
    <w:p>
      <w:pPr>
        <w:spacing w:line="276" w:lineRule="auto" w:after="120"/>
        <w:jc w:val="left"/>
      </w:pPr>
      <w:r>
        <w:rPr>
          <w:rFonts w:ascii="Times New Roman" w:hAnsi="Times New Roman"/>
          <w:sz w:val="21"/>
        </w:rPr>
        <w:t>Algorithm 1 details the complete execution sequence performed by the platform upon receiving a payment payload.</w:t>
      </w:r>
    </w:p>
    <w:p>
      <w:pPr>
        <w:spacing w:line="276" w:lineRule="auto" w:after="40" w:before="40"/>
        <w:ind w:left="280"/>
        <w:jc w:val="left"/>
      </w:pPr>
      <w:r>
        <w:rPr>
          <w:rFonts w:ascii="Times New Roman" w:hAnsi="Times New Roman"/>
          <w:sz w:val="21"/>
        </w:rPr>
        <w:t>Input: Transaction Payload (T), Model (M_RF), Model (M_IF), Blockchain Ledger (B). Output: Decision (D), SHAP Explanation (E), Block Hash (H). Procedure: 1. Validate payload schema using Pydantic. 2. Pre-process features: normalize amount, compute time-delta and Haversine location distance. 3. Predict P_RF = M_RF.predict_proba(T) and S_IF = M_IF.score_samples(T). 4. Calculate R_final = 0.70 * P_RF + 0.30 * S_IF. 5. If R_final &gt;= 0.65: Set D = 'BLOCKED', compute E = SHAP_Explainer(T). Else: Set D = 'APPROVED', E = None. 6. Construct transaction block entry Tx = {id, amount, R_final, D, timestamp}. 7. Append Tx to pending pool; compute Merkle Root H_Merkle. 8. Mine new block B_new = Block(index, prev_hash, H_Merkle, timestamp). 9. Append B_new to B; verify ledger integrity. 10. Return HTTP response containing D, R_final, E, and B_new.hash.</w:t>
      </w:r>
    </w:p>
    <w:p>
      <w:pPr>
        <w:keepNext/>
        <w:spacing w:before="200" w:after="80"/>
        <w:jc w:val="both"/>
      </w:pPr>
      <w:r>
        <w:rPr>
          <w:rFonts w:ascii="Times New Roman" w:hAnsi="Times New Roman"/>
          <w:b/>
          <w:sz w:val="21"/>
        </w:rPr>
        <w:t>4.6 Step-by-Step Transaction Trace</w:t>
      </w:r>
    </w:p>
    <w:p>
      <w:pPr>
        <w:spacing w:before="80" w:after="120"/>
      </w:pPr>
      <w:r>
        <w:rPr>
          <w:rFonts w:ascii="Times New Roman" w:hAnsi="Times New Roman"/>
          <w:sz w:val="24"/>
        </w:rPr>
        <w:t>Live threat injection testing was conducted via the command-line C2 red-team terminal (Fig. 6), demonstrating real-time exploit execution and multi-hop proxy relaying.</w:t>
      </w:r>
    </w:p>
    <w:p>
      <w:pPr>
        <w:spacing w:before="16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Screenshot 2026-09-21 172339.png"/>
                    <pic:cNvPicPr/>
                  </pic:nvPicPr>
                  <pic:blipFill>
                    <a:blip r:embed="rId14"/>
                    <a:stretch>
                      <a:fillRect/>
                    </a:stretch>
                  </pic:blipFill>
                  <pic:spPr>
                    <a:xfrm>
                      <a:off x="0" y="0"/>
                      <a:ext cx="5303520" cy="2983230"/>
                    </a:xfrm>
                    <a:prstGeom prst="rect"/>
                  </pic:spPr>
                </pic:pic>
              </a:graphicData>
            </a:graphic>
          </wp:inline>
        </w:drawing>
      </w:r>
    </w:p>
    <w:p>
      <w:pPr>
        <w:spacing w:before="80" w:after="240"/>
        <w:jc w:val="center"/>
      </w:pPr>
      <w:r>
        <w:rPr>
          <w:rFonts w:ascii="Times New Roman" w:hAnsi="Times New Roman"/>
          <w:b/>
          <w:i w:val="0"/>
          <w:sz w:val="19"/>
        </w:rPr>
        <w:t>Fig. 6. Command-line C2 red-team exploit injection terminal demonstrating active transaction attacks.</w:t>
      </w:r>
    </w:p>
    <w:p>
      <w:pPr>
        <w:spacing w:line="276" w:lineRule="auto" w:after="120"/>
        <w:jc w:val="both"/>
      </w:pPr>
      <w:r>
        <w:rPr>
          <w:rFonts w:ascii="Times New Roman" w:hAnsi="Times New Roman"/>
          <w:sz w:val="21"/>
        </w:rPr>
        <w:t>To illustrate operational mechanics, consider a stolen card used to purchase $3,200 of electronics in a foreign city 3 minutes after a $15 coffee purchase in the cardholder's home city. The feature pre-processor computes a velocity delta of 1,200 miles in 180 seconds—an physically impossible speed. The Random Forest model assigns P_RF = 0.96, while Isolation Forest assigns S_IF = 0.89, yielding a composite risk score R_final = 0.939. The transaction is instantly blocked, the card is set to 'Frozen' in bank_core.db, SHAP attributes +0.48 risk to 'Location Velocity', and the block is appended to the immutable blockchain ledger within 16 milliseconds.</w:t>
      </w:r>
    </w:p>
    <w:p>
      <w:pPr>
        <w:keepNext/>
        <w:spacing w:before="200" w:after="80"/>
        <w:jc w:val="both"/>
      </w:pPr>
      <w:r>
        <w:rPr>
          <w:rFonts w:ascii="Times New Roman" w:hAnsi="Times New Roman"/>
          <w:b/>
          <w:sz w:val="21"/>
        </w:rPr>
        <w:t>4.7 Smart Contract Dispute Recovery Workflow</w:t>
      </w:r>
    </w:p>
    <w:p>
      <w:pPr>
        <w:spacing w:line="276" w:lineRule="auto" w:after="120"/>
        <w:jc w:val="both"/>
      </w:pPr>
      <w:r>
        <w:rPr>
          <w:rFonts w:ascii="Times New Roman" w:hAnsi="Times New Roman"/>
          <w:sz w:val="21"/>
        </w:rPr>
        <w:t>If a legitimate cardholder experiences a false-positive transaction block (e.g., making an unusually large purchase while traveling), the system initiates an automated Dispute Recovery workflow. A cryptographic one-time token is sent to the cardholder's verified mobile device. Upon entering the token in the Customer Portal, an automated smart-contract call validates the cardholder's cryptographic signature, updates the card status back to 'Active', and adjusts the local training dataset weight for that specific spending pattern.</w:t>
      </w:r>
    </w:p>
    <w:p>
      <w:pPr>
        <w:keepNext/>
        <w:spacing w:before="200" w:after="80"/>
        <w:jc w:val="both"/>
      </w:pPr>
      <w:r>
        <w:rPr>
          <w:rFonts w:ascii="Times New Roman" w:hAnsi="Times New Roman"/>
          <w:b/>
          <w:sz w:val="21"/>
        </w:rPr>
        <w:t>4.8 Consensus Convergence and Cryptographic Hash Collisions</w:t>
      </w:r>
    </w:p>
    <w:p>
      <w:pPr>
        <w:spacing w:line="276" w:lineRule="auto" w:after="120"/>
        <w:jc w:val="both"/>
      </w:pPr>
      <w:r>
        <w:rPr>
          <w:rFonts w:ascii="Times New Roman" w:hAnsi="Times New Roman"/>
          <w:sz w:val="21"/>
        </w:rPr>
        <w:t>In permissioned enterprise ledgers, consensus convergence time determines transaction authorization velocity. Unlike public Proof-of-Work blockchains that incur 10-minute block generation delays due to artificial cryptographic puzzle solving, the permissioned Raft-SHA256 consensus engine achieves consensus within 5 milliseconds across authorized validator nodes. SHA-256 produces a 256-bit hash digest, yielding 2^256 possible output states. The mathematical probability of a hash collision under SHA-256 is approximately 1 in 10^77, guaranteeing zero collision risk across decades of commercial payment processing.</w:t>
      </w:r>
    </w:p>
    <w:p>
      <w:pPr>
        <w:keepNext/>
        <w:spacing w:before="280" w:after="120"/>
        <w:jc w:val="left"/>
      </w:pPr>
      <w:r>
        <w:rPr>
          <w:rFonts w:ascii="Times New Roman" w:hAnsi="Times New Roman"/>
          <w:b/>
          <w:sz w:val="24"/>
        </w:rPr>
        <w:t>5. RESULTS</w:t>
      </w:r>
    </w:p>
    <w:p>
      <w:pPr>
        <w:spacing w:line="276" w:lineRule="auto" w:after="120"/>
        <w:jc w:val="both"/>
      </w:pPr>
      <w:r>
        <w:rPr>
          <w:rFonts w:ascii="Times New Roman" w:hAnsi="Times New Roman"/>
          <w:sz w:val="21"/>
        </w:rPr>
        <w:t>System evaluation was conducted in two formal testing phases: standalone ML classification benchmarking on real-world credit card datasets and end-to-end performance profiling of the integrated web application.</w:t>
      </w:r>
    </w:p>
    <w:p>
      <w:pPr>
        <w:keepNext/>
        <w:spacing w:before="200" w:after="80"/>
        <w:jc w:val="both"/>
      </w:pPr>
      <w:r>
        <w:rPr>
          <w:rFonts w:ascii="Times New Roman" w:hAnsi="Times New Roman"/>
          <w:b/>
          <w:sz w:val="21"/>
        </w:rPr>
        <w:t>5.1 Phase 1 – Machine Learning Classification Verification</w:t>
      </w:r>
    </w:p>
    <w:p>
      <w:pPr>
        <w:spacing w:line="276" w:lineRule="auto" w:after="120"/>
        <w:jc w:val="both"/>
      </w:pPr>
      <w:r>
        <w:rPr>
          <w:rFonts w:ascii="Times New Roman" w:hAnsi="Times New Roman"/>
          <w:sz w:val="21"/>
        </w:rPr>
        <w:t>The Random Forest and Isolation Forest models were trained and evaluated on a benchmark credit card fraud dataset comprising 284,807 transactions. The dataset contained 492 fraudulent transactions (0.172% class imbalance). Synthetic oversampling via SMOTE was applied to training splits. The hybrid model achieved an overall Classification Accuracy of 99.4%, a Precision of 94.2%, a Recall of 91.8%, an F1-Score of 93.0%, and an ROC-AUC of 0.982. Comparative testing proved that the hybrid supervised-unsupervised model detected 14% more novel zero-day fraud patterns than Random Forest alone.</w:t>
      </w:r>
    </w:p>
    <w:p>
      <w:pPr>
        <w:keepNext/>
        <w:spacing w:before="200" w:after="80"/>
        <w:jc w:val="both"/>
      </w:pPr>
      <w:r>
        <w:rPr>
          <w:rFonts w:ascii="Times New Roman" w:hAnsi="Times New Roman"/>
          <w:b/>
          <w:sz w:val="21"/>
        </w:rPr>
        <w:t>5.2 Phase 2 – Application Benchmarking and Latency Profiling</w:t>
      </w:r>
    </w:p>
    <w:p>
      <w:pPr>
        <w:spacing w:before="80" w:after="120"/>
      </w:pPr>
      <w:r>
        <w:rPr>
          <w:rFonts w:ascii="Times New Roman" w:hAnsi="Times New Roman"/>
          <w:sz w:val="24"/>
        </w:rPr>
        <w:t>Backend microservice operation was verified through live Uvicorn execution logs (Fig. 7), confirming low-latency endpoint invocation, transaction verification, and smart contract commit cycles.</w:t>
      </w:r>
    </w:p>
    <w:p>
      <w:pPr>
        <w:spacing w:before="160" w:after="80"/>
        <w:jc w:val="center"/>
      </w:pPr>
      <w:r>
        <w:drawing>
          <wp:inline xmlns:a="http://schemas.openxmlformats.org/drawingml/2006/main" xmlns:pic="http://schemas.openxmlformats.org/drawingml/2006/picture">
            <wp:extent cx="5303520" cy="2726911"/>
            <wp:docPr id="7" name="Picture 7"/>
            <wp:cNvGraphicFramePr>
              <a:graphicFrameLocks noChangeAspect="1"/>
            </wp:cNvGraphicFramePr>
            <a:graphic>
              <a:graphicData uri="http://schemas.openxmlformats.org/drawingml/2006/picture">
                <pic:pic>
                  <pic:nvPicPr>
                    <pic:cNvPr id="0" name="Screenshot 2026-09-21 172423.png"/>
                    <pic:cNvPicPr/>
                  </pic:nvPicPr>
                  <pic:blipFill>
                    <a:blip r:embed="rId15"/>
                    <a:stretch>
                      <a:fillRect/>
                    </a:stretch>
                  </pic:blipFill>
                  <pic:spPr>
                    <a:xfrm>
                      <a:off x="0" y="0"/>
                      <a:ext cx="5303520" cy="2726911"/>
                    </a:xfrm>
                    <a:prstGeom prst="rect"/>
                  </pic:spPr>
                </pic:pic>
              </a:graphicData>
            </a:graphic>
          </wp:inline>
        </w:drawing>
      </w:r>
    </w:p>
    <w:p>
      <w:pPr>
        <w:spacing w:before="80" w:after="240"/>
        <w:jc w:val="center"/>
      </w:pPr>
      <w:r>
        <w:rPr>
          <w:rFonts w:ascii="Times New Roman" w:hAnsi="Times New Roman"/>
          <w:b/>
          <w:i w:val="0"/>
          <w:sz w:val="19"/>
        </w:rPr>
        <w:t>Fig. 7. Live FastAPI backend execution console logging smart contract calls and fraud API endpoints.</w:t>
      </w:r>
    </w:p>
    <w:p>
      <w:pPr>
        <w:spacing w:line="276" w:lineRule="auto" w:after="120"/>
        <w:jc w:val="both"/>
      </w:pPr>
      <w:r>
        <w:rPr>
          <w:rFonts w:ascii="Times New Roman" w:hAnsi="Times New Roman"/>
          <w:sz w:val="21"/>
        </w:rPr>
        <w:t>Integration benchmarking evaluated complete end-to-end request latency across 1,000 simulated transactions submitted to the FastAPI REST API. The total processing pipeline—encompassing API ingestion, feature pre-processing, ML inference, SHAP explanation calculation, and blockchain block commitment—achieved an average response time of 17.8 milliseconds per transaction on a standard 4-core Intel Core i7 processor. Cryptographic Merkle tree verification confirmed zero hash chain corruptions across 10,000 mined blocks.</w:t>
      </w:r>
    </w:p>
    <w:p>
      <w:pPr>
        <w:keepNext/>
        <w:spacing w:before="200" w:after="80"/>
        <w:jc w:val="both"/>
      </w:pPr>
      <w:r>
        <w:rPr>
          <w:rFonts w:ascii="Times New Roman" w:hAnsi="Times New Roman"/>
          <w:b/>
          <w:sz w:val="21"/>
        </w:rPr>
        <w:t>5.3 Model Performance Breakdown Across Classifier Configurations</w:t>
      </w:r>
    </w:p>
    <w:p>
      <w:pPr>
        <w:spacing w:line="276" w:lineRule="auto" w:after="120"/>
        <w:jc w:val="both"/>
      </w:pPr>
      <w:r>
        <w:rPr>
          <w:rFonts w:ascii="Times New Roman" w:hAnsi="Times New Roman"/>
          <w:sz w:val="21"/>
        </w:rPr>
        <w:t>To verify the superior detection accuracy of the proposed hybrid architecture, five classifier configurations were benchmarked under identical test splits: Logistic Regression, Support Vector Machines (SVM), Standalone Random Forest, Standalone Isolation Forest, and Proposed Hybrid Dual-Engine. Table II presents the quantitative evaluation across all five configurations.</w:t>
      </w:r>
    </w:p>
    <w:p>
      <w:pPr>
        <w:spacing w:before="240" w:after="60"/>
        <w:jc w:val="center"/>
      </w:pPr>
      <w:r>
        <w:rPr>
          <w:rFonts w:ascii="Times New Roman" w:hAnsi="Times New Roman"/>
          <w:b/>
          <w:sz w:val="20"/>
        </w:rPr>
        <w:t>TABLE II</w:t>
      </w:r>
    </w:p>
    <w:p>
      <w:pPr>
        <w:spacing w:before="40" w:after="120"/>
        <w:jc w:val="center"/>
      </w:pPr>
      <w:r>
        <w:rPr>
          <w:rFonts w:ascii="Times New Roman" w:hAnsi="Times New Roman"/>
          <w:b/>
          <w:sz w:val="21"/>
        </w:rPr>
        <w:t>CLASSIFIER PERFORMANCE BENCHMARK COMPARISON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F2F4F7"/>
          </w:tcPr>
          <w:p>
            <w:pPr>
              <w:spacing w:before="80" w:after="80"/>
              <w:jc w:val="center"/>
            </w:pPr>
            <w:r>
              <w:rPr>
                <w:rFonts w:ascii="Times New Roman" w:hAnsi="Times New Roman"/>
                <w:b/>
                <w:sz w:val="19"/>
              </w:rPr>
              <w:t>Model Architecture</w:t>
            </w:r>
          </w:p>
        </w:tc>
        <w:tc>
          <w:tcPr>
            <w:tcW w:type="dxa" w:w="1560"/>
            <w:vAlign w:val="center"/>
            <w:shd w:fill="F2F4F7"/>
          </w:tcPr>
          <w:p>
            <w:pPr>
              <w:spacing w:before="80" w:after="80"/>
              <w:jc w:val="center"/>
            </w:pPr>
            <w:r>
              <w:rPr>
                <w:rFonts w:ascii="Times New Roman" w:hAnsi="Times New Roman"/>
                <w:b/>
                <w:sz w:val="19"/>
              </w:rPr>
              <w:t>Accuracy (%)</w:t>
            </w:r>
          </w:p>
        </w:tc>
        <w:tc>
          <w:tcPr>
            <w:tcW w:type="dxa" w:w="1560"/>
            <w:vAlign w:val="center"/>
            <w:shd w:fill="F2F4F7"/>
          </w:tcPr>
          <w:p>
            <w:pPr>
              <w:spacing w:before="80" w:after="80"/>
              <w:jc w:val="center"/>
            </w:pPr>
            <w:r>
              <w:rPr>
                <w:rFonts w:ascii="Times New Roman" w:hAnsi="Times New Roman"/>
                <w:b/>
                <w:sz w:val="19"/>
              </w:rPr>
              <w:t>Precision (%)</w:t>
            </w:r>
          </w:p>
        </w:tc>
        <w:tc>
          <w:tcPr>
            <w:tcW w:type="dxa" w:w="1560"/>
            <w:vAlign w:val="center"/>
            <w:shd w:fill="F2F4F7"/>
          </w:tcPr>
          <w:p>
            <w:pPr>
              <w:spacing w:before="80" w:after="80"/>
              <w:jc w:val="center"/>
            </w:pPr>
            <w:r>
              <w:rPr>
                <w:rFonts w:ascii="Times New Roman" w:hAnsi="Times New Roman"/>
                <w:b/>
                <w:sz w:val="19"/>
              </w:rPr>
              <w:t>Recall (%)</w:t>
            </w:r>
          </w:p>
        </w:tc>
        <w:tc>
          <w:tcPr>
            <w:tcW w:type="dxa" w:w="1560"/>
            <w:vAlign w:val="center"/>
            <w:shd w:fill="F2F4F7"/>
          </w:tcPr>
          <w:p>
            <w:pPr>
              <w:spacing w:before="80" w:after="80"/>
              <w:jc w:val="center"/>
            </w:pPr>
            <w:r>
              <w:rPr>
                <w:rFonts w:ascii="Times New Roman" w:hAnsi="Times New Roman"/>
                <w:b/>
                <w:sz w:val="19"/>
              </w:rPr>
              <w:t>F1-Score (%)</w:t>
            </w:r>
          </w:p>
        </w:tc>
        <w:tc>
          <w:tcPr>
            <w:tcW w:type="dxa" w:w="1560"/>
            <w:vAlign w:val="center"/>
            <w:shd w:fill="F2F4F7"/>
          </w:tcPr>
          <w:p>
            <w:pPr>
              <w:spacing w:before="80" w:after="80"/>
              <w:jc w:val="center"/>
            </w:pPr>
            <w:r>
              <w:rPr>
                <w:rFonts w:ascii="Times New Roman" w:hAnsi="Times New Roman"/>
                <w:b/>
                <w:sz w:val="19"/>
              </w:rPr>
              <w:t>ROC-AUC Score</w:t>
            </w:r>
          </w:p>
        </w:tc>
      </w:tr>
      <w:tr>
        <w:trPr>
          <w:cantSplit/>
        </w:trPr>
        <w:tc>
          <w:tcPr>
            <w:tcW w:type="dxa" w:w="1560"/>
            <w:vAlign w:val="center"/>
            <w:shd w:fill="FFFFFF"/>
          </w:tcPr>
          <w:p>
            <w:pPr>
              <w:spacing w:before="60" w:after="60" w:line="276" w:lineRule="auto"/>
              <w:jc w:val="left"/>
            </w:pPr>
            <w:r>
              <w:rPr>
                <w:rFonts w:ascii="Times New Roman" w:hAnsi="Times New Roman"/>
                <w:sz w:val="19"/>
              </w:rPr>
              <w:t>Logistic Regression</w:t>
            </w:r>
          </w:p>
        </w:tc>
        <w:tc>
          <w:tcPr>
            <w:tcW w:type="dxa" w:w="1560"/>
            <w:vAlign w:val="center"/>
            <w:shd w:fill="FFFFFF"/>
          </w:tcPr>
          <w:p>
            <w:pPr>
              <w:spacing w:before="60" w:after="60" w:line="276" w:lineRule="auto"/>
              <w:jc w:val="center"/>
            </w:pPr>
            <w:r>
              <w:rPr>
                <w:rFonts w:ascii="Times New Roman" w:hAnsi="Times New Roman"/>
                <w:sz w:val="19"/>
              </w:rPr>
              <w:t>96.4%</w:t>
            </w:r>
          </w:p>
        </w:tc>
        <w:tc>
          <w:tcPr>
            <w:tcW w:type="dxa" w:w="1560"/>
            <w:vAlign w:val="center"/>
            <w:shd w:fill="FFFFFF"/>
          </w:tcPr>
          <w:p>
            <w:pPr>
              <w:spacing w:before="60" w:after="60" w:line="276" w:lineRule="auto"/>
              <w:jc w:val="center"/>
            </w:pPr>
            <w:r>
              <w:rPr>
                <w:rFonts w:ascii="Times New Roman" w:hAnsi="Times New Roman"/>
                <w:sz w:val="19"/>
              </w:rPr>
              <w:t>81.2%</w:t>
            </w:r>
          </w:p>
        </w:tc>
        <w:tc>
          <w:tcPr>
            <w:tcW w:type="dxa" w:w="1560"/>
            <w:vAlign w:val="center"/>
            <w:shd w:fill="FFFFFF"/>
          </w:tcPr>
          <w:p>
            <w:pPr>
              <w:spacing w:before="60" w:after="60" w:line="276" w:lineRule="auto"/>
              <w:jc w:val="center"/>
            </w:pPr>
            <w:r>
              <w:rPr>
                <w:rFonts w:ascii="Times New Roman" w:hAnsi="Times New Roman"/>
                <w:sz w:val="19"/>
              </w:rPr>
              <w:t>78.5%</w:t>
            </w:r>
          </w:p>
        </w:tc>
        <w:tc>
          <w:tcPr>
            <w:tcW w:type="dxa" w:w="1560"/>
            <w:vAlign w:val="center"/>
            <w:shd w:fill="FFFFFF"/>
          </w:tcPr>
          <w:p>
            <w:pPr>
              <w:spacing w:before="60" w:after="60" w:line="276" w:lineRule="auto"/>
              <w:jc w:val="center"/>
            </w:pPr>
            <w:r>
              <w:rPr>
                <w:rFonts w:ascii="Times New Roman" w:hAnsi="Times New Roman"/>
                <w:sz w:val="19"/>
              </w:rPr>
              <w:t>79.8%</w:t>
            </w:r>
          </w:p>
        </w:tc>
        <w:tc>
          <w:tcPr>
            <w:tcW w:type="dxa" w:w="1560"/>
            <w:vAlign w:val="center"/>
            <w:shd w:fill="FFFFFF"/>
          </w:tcPr>
          <w:p>
            <w:pPr>
              <w:spacing w:before="60" w:after="60" w:line="276" w:lineRule="auto"/>
              <w:jc w:val="center"/>
            </w:pPr>
            <w:r>
              <w:rPr>
                <w:rFonts w:ascii="Times New Roman" w:hAnsi="Times New Roman"/>
                <w:sz w:val="19"/>
              </w:rPr>
              <w:t>0.884</w:t>
            </w:r>
          </w:p>
        </w:tc>
      </w:tr>
      <w:tr>
        <w:trPr>
          <w:cantSplit/>
        </w:trPr>
        <w:tc>
          <w:tcPr>
            <w:tcW w:type="dxa" w:w="1560"/>
            <w:vAlign w:val="center"/>
            <w:shd w:fill="FBFBFD"/>
          </w:tcPr>
          <w:p>
            <w:pPr>
              <w:spacing w:before="60" w:after="60" w:line="276" w:lineRule="auto"/>
              <w:jc w:val="left"/>
            </w:pPr>
            <w:r>
              <w:rPr>
                <w:rFonts w:ascii="Times New Roman" w:hAnsi="Times New Roman"/>
                <w:sz w:val="19"/>
              </w:rPr>
              <w:t>Support Vector Machine (SVM)</w:t>
            </w:r>
          </w:p>
        </w:tc>
        <w:tc>
          <w:tcPr>
            <w:tcW w:type="dxa" w:w="1560"/>
            <w:vAlign w:val="center"/>
            <w:shd w:fill="FBFBFD"/>
          </w:tcPr>
          <w:p>
            <w:pPr>
              <w:spacing w:before="60" w:after="60" w:line="276" w:lineRule="auto"/>
              <w:jc w:val="center"/>
            </w:pPr>
            <w:r>
              <w:rPr>
                <w:rFonts w:ascii="Times New Roman" w:hAnsi="Times New Roman"/>
                <w:sz w:val="19"/>
              </w:rPr>
              <w:t>97.8%</w:t>
            </w:r>
          </w:p>
        </w:tc>
        <w:tc>
          <w:tcPr>
            <w:tcW w:type="dxa" w:w="1560"/>
            <w:vAlign w:val="center"/>
            <w:shd w:fill="FBFBFD"/>
          </w:tcPr>
          <w:p>
            <w:pPr>
              <w:spacing w:before="60" w:after="60" w:line="276" w:lineRule="auto"/>
              <w:jc w:val="center"/>
            </w:pPr>
            <w:r>
              <w:rPr>
                <w:rFonts w:ascii="Times New Roman" w:hAnsi="Times New Roman"/>
                <w:sz w:val="19"/>
              </w:rPr>
              <w:t>86.5%</w:t>
            </w:r>
          </w:p>
        </w:tc>
        <w:tc>
          <w:tcPr>
            <w:tcW w:type="dxa" w:w="1560"/>
            <w:vAlign w:val="center"/>
            <w:shd w:fill="FBFBFD"/>
          </w:tcPr>
          <w:p>
            <w:pPr>
              <w:spacing w:before="60" w:after="60" w:line="276" w:lineRule="auto"/>
              <w:jc w:val="center"/>
            </w:pPr>
            <w:r>
              <w:rPr>
                <w:rFonts w:ascii="Times New Roman" w:hAnsi="Times New Roman"/>
                <w:sz w:val="19"/>
              </w:rPr>
              <w:t>82.1%</w:t>
            </w:r>
          </w:p>
        </w:tc>
        <w:tc>
          <w:tcPr>
            <w:tcW w:type="dxa" w:w="1560"/>
            <w:vAlign w:val="center"/>
            <w:shd w:fill="FBFBFD"/>
          </w:tcPr>
          <w:p>
            <w:pPr>
              <w:spacing w:before="60" w:after="60" w:line="276" w:lineRule="auto"/>
              <w:jc w:val="center"/>
            </w:pPr>
            <w:r>
              <w:rPr>
                <w:rFonts w:ascii="Times New Roman" w:hAnsi="Times New Roman"/>
                <w:sz w:val="19"/>
              </w:rPr>
              <w:t>84.2%</w:t>
            </w:r>
          </w:p>
        </w:tc>
        <w:tc>
          <w:tcPr>
            <w:tcW w:type="dxa" w:w="1560"/>
            <w:vAlign w:val="center"/>
            <w:shd w:fill="FBFBFD"/>
          </w:tcPr>
          <w:p>
            <w:pPr>
              <w:spacing w:before="60" w:after="60" w:line="276" w:lineRule="auto"/>
              <w:jc w:val="center"/>
            </w:pPr>
            <w:r>
              <w:rPr>
                <w:rFonts w:ascii="Times New Roman" w:hAnsi="Times New Roman"/>
                <w:sz w:val="19"/>
              </w:rPr>
              <w:t>0.912</w:t>
            </w:r>
          </w:p>
        </w:tc>
      </w:tr>
      <w:tr>
        <w:trPr>
          <w:cantSplit/>
        </w:trPr>
        <w:tc>
          <w:tcPr>
            <w:tcW w:type="dxa" w:w="1560"/>
            <w:vAlign w:val="center"/>
            <w:shd w:fill="FFFFFF"/>
          </w:tcPr>
          <w:p>
            <w:pPr>
              <w:spacing w:before="60" w:after="60" w:line="276" w:lineRule="auto"/>
              <w:jc w:val="left"/>
            </w:pPr>
            <w:r>
              <w:rPr>
                <w:rFonts w:ascii="Times New Roman" w:hAnsi="Times New Roman"/>
                <w:sz w:val="19"/>
              </w:rPr>
              <w:t>Standalone Isolation Forest</w:t>
            </w:r>
          </w:p>
        </w:tc>
        <w:tc>
          <w:tcPr>
            <w:tcW w:type="dxa" w:w="1560"/>
            <w:vAlign w:val="center"/>
            <w:shd w:fill="FFFFFF"/>
          </w:tcPr>
          <w:p>
            <w:pPr>
              <w:spacing w:before="60" w:after="60" w:line="276" w:lineRule="auto"/>
              <w:jc w:val="center"/>
            </w:pPr>
            <w:r>
              <w:rPr>
                <w:rFonts w:ascii="Times New Roman" w:hAnsi="Times New Roman"/>
                <w:sz w:val="19"/>
              </w:rPr>
              <w:t>98.1%</w:t>
            </w:r>
          </w:p>
        </w:tc>
        <w:tc>
          <w:tcPr>
            <w:tcW w:type="dxa" w:w="1560"/>
            <w:vAlign w:val="center"/>
            <w:shd w:fill="FFFFFF"/>
          </w:tcPr>
          <w:p>
            <w:pPr>
              <w:spacing w:before="60" w:after="60" w:line="276" w:lineRule="auto"/>
              <w:jc w:val="center"/>
            </w:pPr>
            <w:r>
              <w:rPr>
                <w:rFonts w:ascii="Times New Roman" w:hAnsi="Times New Roman"/>
                <w:sz w:val="19"/>
              </w:rPr>
              <w:t>84.8%</w:t>
            </w:r>
          </w:p>
        </w:tc>
        <w:tc>
          <w:tcPr>
            <w:tcW w:type="dxa" w:w="1560"/>
            <w:vAlign w:val="center"/>
            <w:shd w:fill="FFFFFF"/>
          </w:tcPr>
          <w:p>
            <w:pPr>
              <w:spacing w:before="60" w:after="60" w:line="276" w:lineRule="auto"/>
              <w:jc w:val="center"/>
            </w:pPr>
            <w:r>
              <w:rPr>
                <w:rFonts w:ascii="Times New Roman" w:hAnsi="Times New Roman"/>
                <w:sz w:val="19"/>
              </w:rPr>
              <w:t>88.4%</w:t>
            </w:r>
          </w:p>
        </w:tc>
        <w:tc>
          <w:tcPr>
            <w:tcW w:type="dxa" w:w="1560"/>
            <w:vAlign w:val="center"/>
            <w:shd w:fill="FFFFFF"/>
          </w:tcPr>
          <w:p>
            <w:pPr>
              <w:spacing w:before="60" w:after="60" w:line="276" w:lineRule="auto"/>
              <w:jc w:val="center"/>
            </w:pPr>
            <w:r>
              <w:rPr>
                <w:rFonts w:ascii="Times New Roman" w:hAnsi="Times New Roman"/>
                <w:sz w:val="19"/>
              </w:rPr>
              <w:t>86.6%</w:t>
            </w:r>
          </w:p>
        </w:tc>
        <w:tc>
          <w:tcPr>
            <w:tcW w:type="dxa" w:w="1560"/>
            <w:vAlign w:val="center"/>
            <w:shd w:fill="FFFFFF"/>
          </w:tcPr>
          <w:p>
            <w:pPr>
              <w:spacing w:before="60" w:after="60" w:line="276" w:lineRule="auto"/>
              <w:jc w:val="center"/>
            </w:pPr>
            <w:r>
              <w:rPr>
                <w:rFonts w:ascii="Times New Roman" w:hAnsi="Times New Roman"/>
                <w:sz w:val="19"/>
              </w:rPr>
              <w:t>0.935</w:t>
            </w:r>
          </w:p>
        </w:tc>
      </w:tr>
      <w:tr>
        <w:trPr>
          <w:cantSplit/>
        </w:trPr>
        <w:tc>
          <w:tcPr>
            <w:tcW w:type="dxa" w:w="1560"/>
            <w:vAlign w:val="center"/>
            <w:shd w:fill="FBFBFD"/>
          </w:tcPr>
          <w:p>
            <w:pPr>
              <w:spacing w:before="60" w:after="60" w:line="276" w:lineRule="auto"/>
              <w:jc w:val="left"/>
            </w:pPr>
            <w:r>
              <w:rPr>
                <w:rFonts w:ascii="Times New Roman" w:hAnsi="Times New Roman"/>
                <w:sz w:val="19"/>
              </w:rPr>
              <w:t>Standalone Random Forest</w:t>
            </w:r>
          </w:p>
        </w:tc>
        <w:tc>
          <w:tcPr>
            <w:tcW w:type="dxa" w:w="1560"/>
            <w:vAlign w:val="center"/>
            <w:shd w:fill="FBFBFD"/>
          </w:tcPr>
          <w:p>
            <w:pPr>
              <w:spacing w:before="60" w:after="60" w:line="276" w:lineRule="auto"/>
              <w:jc w:val="center"/>
            </w:pPr>
            <w:r>
              <w:rPr>
                <w:rFonts w:ascii="Times New Roman" w:hAnsi="Times New Roman"/>
                <w:sz w:val="19"/>
              </w:rPr>
              <w:t>99.1%</w:t>
            </w:r>
          </w:p>
        </w:tc>
        <w:tc>
          <w:tcPr>
            <w:tcW w:type="dxa" w:w="1560"/>
            <w:vAlign w:val="center"/>
            <w:shd w:fill="FBFBFD"/>
          </w:tcPr>
          <w:p>
            <w:pPr>
              <w:spacing w:before="60" w:after="60" w:line="276" w:lineRule="auto"/>
              <w:jc w:val="center"/>
            </w:pPr>
            <w:r>
              <w:rPr>
                <w:rFonts w:ascii="Times New Roman" w:hAnsi="Times New Roman"/>
                <w:sz w:val="19"/>
              </w:rPr>
              <w:t>93.1%</w:t>
            </w:r>
          </w:p>
        </w:tc>
        <w:tc>
          <w:tcPr>
            <w:tcW w:type="dxa" w:w="1560"/>
            <w:vAlign w:val="center"/>
            <w:shd w:fill="FBFBFD"/>
          </w:tcPr>
          <w:p>
            <w:pPr>
              <w:spacing w:before="60" w:after="60" w:line="276" w:lineRule="auto"/>
              <w:jc w:val="center"/>
            </w:pPr>
            <w:r>
              <w:rPr>
                <w:rFonts w:ascii="Times New Roman" w:hAnsi="Times New Roman"/>
                <w:sz w:val="19"/>
              </w:rPr>
              <w:t>89.4%</w:t>
            </w:r>
          </w:p>
        </w:tc>
        <w:tc>
          <w:tcPr>
            <w:tcW w:type="dxa" w:w="1560"/>
            <w:vAlign w:val="center"/>
            <w:shd w:fill="FBFBFD"/>
          </w:tcPr>
          <w:p>
            <w:pPr>
              <w:spacing w:before="60" w:after="60" w:line="276" w:lineRule="auto"/>
              <w:jc w:val="center"/>
            </w:pPr>
            <w:r>
              <w:rPr>
                <w:rFonts w:ascii="Times New Roman" w:hAnsi="Times New Roman"/>
                <w:sz w:val="19"/>
              </w:rPr>
              <w:t>91.2%</w:t>
            </w:r>
          </w:p>
        </w:tc>
        <w:tc>
          <w:tcPr>
            <w:tcW w:type="dxa" w:w="1560"/>
            <w:vAlign w:val="center"/>
            <w:shd w:fill="FBFBFD"/>
          </w:tcPr>
          <w:p>
            <w:pPr>
              <w:spacing w:before="60" w:after="60" w:line="276" w:lineRule="auto"/>
              <w:jc w:val="center"/>
            </w:pPr>
            <w:r>
              <w:rPr>
                <w:rFonts w:ascii="Times New Roman" w:hAnsi="Times New Roman"/>
                <w:sz w:val="19"/>
              </w:rPr>
              <w:t>0.968</w:t>
            </w:r>
          </w:p>
        </w:tc>
      </w:tr>
      <w:tr>
        <w:trPr>
          <w:cantSplit/>
        </w:trPr>
        <w:tc>
          <w:tcPr>
            <w:tcW w:type="dxa" w:w="1560"/>
            <w:vAlign w:val="center"/>
            <w:shd w:fill="FFFFFF"/>
          </w:tcPr>
          <w:p>
            <w:pPr>
              <w:spacing w:before="60" w:after="60" w:line="276" w:lineRule="auto"/>
              <w:jc w:val="left"/>
            </w:pPr>
            <w:r>
              <w:rPr>
                <w:rFonts w:ascii="Times New Roman" w:hAnsi="Times New Roman"/>
                <w:sz w:val="19"/>
              </w:rPr>
              <w:t>Proposed Hybrid Dual-Engine</w:t>
            </w:r>
          </w:p>
        </w:tc>
        <w:tc>
          <w:tcPr>
            <w:tcW w:type="dxa" w:w="1560"/>
            <w:vAlign w:val="center"/>
            <w:shd w:fill="FFFFFF"/>
          </w:tcPr>
          <w:p>
            <w:pPr>
              <w:spacing w:before="60" w:after="60" w:line="276" w:lineRule="auto"/>
              <w:jc w:val="center"/>
            </w:pPr>
            <w:r>
              <w:rPr>
                <w:rFonts w:ascii="Times New Roman" w:hAnsi="Times New Roman"/>
                <w:sz w:val="19"/>
              </w:rPr>
              <w:t>99.4%</w:t>
            </w:r>
          </w:p>
        </w:tc>
        <w:tc>
          <w:tcPr>
            <w:tcW w:type="dxa" w:w="1560"/>
            <w:vAlign w:val="center"/>
            <w:shd w:fill="FFFFFF"/>
          </w:tcPr>
          <w:p>
            <w:pPr>
              <w:spacing w:before="60" w:after="60" w:line="276" w:lineRule="auto"/>
              <w:jc w:val="center"/>
            </w:pPr>
            <w:r>
              <w:rPr>
                <w:rFonts w:ascii="Times New Roman" w:hAnsi="Times New Roman"/>
                <w:sz w:val="19"/>
              </w:rPr>
              <w:t>94.2%</w:t>
            </w:r>
          </w:p>
        </w:tc>
        <w:tc>
          <w:tcPr>
            <w:tcW w:type="dxa" w:w="1560"/>
            <w:vAlign w:val="center"/>
            <w:shd w:fill="FFFFFF"/>
          </w:tcPr>
          <w:p>
            <w:pPr>
              <w:spacing w:before="60" w:after="60" w:line="276" w:lineRule="auto"/>
              <w:jc w:val="center"/>
            </w:pPr>
            <w:r>
              <w:rPr>
                <w:rFonts w:ascii="Times New Roman" w:hAnsi="Times New Roman"/>
                <w:sz w:val="19"/>
              </w:rPr>
              <w:t>91.8%</w:t>
            </w:r>
          </w:p>
        </w:tc>
        <w:tc>
          <w:tcPr>
            <w:tcW w:type="dxa" w:w="1560"/>
            <w:vAlign w:val="center"/>
            <w:shd w:fill="FFFFFF"/>
          </w:tcPr>
          <w:p>
            <w:pPr>
              <w:spacing w:before="60" w:after="60" w:line="276" w:lineRule="auto"/>
              <w:jc w:val="center"/>
            </w:pPr>
            <w:r>
              <w:rPr>
                <w:rFonts w:ascii="Times New Roman" w:hAnsi="Times New Roman"/>
                <w:sz w:val="19"/>
              </w:rPr>
              <w:t>93.0%</w:t>
            </w:r>
          </w:p>
        </w:tc>
        <w:tc>
          <w:tcPr>
            <w:tcW w:type="dxa" w:w="1560"/>
            <w:vAlign w:val="center"/>
            <w:shd w:fill="FFFFFF"/>
          </w:tcPr>
          <w:p>
            <w:pPr>
              <w:spacing w:before="60" w:after="60" w:line="276" w:lineRule="auto"/>
              <w:jc w:val="center"/>
            </w:pPr>
            <w:r>
              <w:rPr>
                <w:rFonts w:ascii="Times New Roman" w:hAnsi="Times New Roman"/>
                <w:sz w:val="19"/>
              </w:rPr>
              <w:t>0.982</w:t>
            </w:r>
          </w:p>
        </w:tc>
      </w:tr>
    </w:tbl>
    <w:p>
      <w:pPr>
        <w:keepNext/>
        <w:spacing w:before="200" w:after="80"/>
        <w:jc w:val="both"/>
      </w:pPr>
      <w:r>
        <w:rPr>
          <w:rFonts w:ascii="Times New Roman" w:hAnsi="Times New Roman"/>
          <w:b/>
          <w:sz w:val="21"/>
        </w:rPr>
        <w:t>5.4 System Latency Breakdown by Processing Stage</w:t>
      </w:r>
    </w:p>
    <w:p>
      <w:pPr>
        <w:spacing w:line="276" w:lineRule="auto" w:after="120"/>
        <w:jc w:val="both"/>
      </w:pPr>
      <w:r>
        <w:rPr>
          <w:rFonts w:ascii="Times New Roman" w:hAnsi="Times New Roman"/>
          <w:sz w:val="21"/>
        </w:rPr>
        <w:t>To identify performance bottlenecks, execution latency was profiled across each stage of the end-to-end transaction lifecycle. Stage 1 (API Ingestion &amp; Schema Validation): 1.2ms; Stage 2 (Feature Pre-processing &amp; Spatial Math): 2.4ms; Stage 3 (Dual-Engine ML Scoring): 4.8ms; Stage 4 (SHAP Feature Attribution Math): 5.6ms; Stage 5 (Cryptographic Merkle Block Commitment &amp; DB Logging): 3.8ms. Total average end-to-end execution time measured 17.8ms, well below the 50ms industry threshold for credit card point-of-sale authorizations.</w:t>
      </w:r>
    </w:p>
    <w:p>
      <w:pPr>
        <w:keepNext/>
        <w:spacing w:before="200" w:after="80"/>
        <w:jc w:val="both"/>
      </w:pPr>
      <w:r>
        <w:rPr>
          <w:rFonts w:ascii="Times New Roman" w:hAnsi="Times New Roman"/>
          <w:b/>
          <w:sz w:val="21"/>
        </w:rPr>
        <w:t>5.5 Forensic Auditability and Tamper Verification Testing</w:t>
      </w:r>
    </w:p>
    <w:p>
      <w:pPr>
        <w:spacing w:line="276" w:lineRule="auto" w:after="120"/>
        <w:jc w:val="both"/>
      </w:pPr>
      <w:r>
        <w:rPr>
          <w:rFonts w:ascii="Times New Roman" w:hAnsi="Times New Roman"/>
          <w:sz w:val="21"/>
        </w:rPr>
        <w:t>To evaluate cryptographic ledger immutability, an automated attack script attempted to modify a transaction amount inside a committed historical database record in blockchain_ledger.db. Upon executing the next block validation pass, the system detected a Merkle root digest mismatch within 0.4 milliseconds, immediately flagging the database as tampered, isolating the node, and alerting the SOC manager dashboard. This empirical test confirms complete non-repudiation and forensic integrity.</w:t>
      </w:r>
    </w:p>
    <w:p>
      <w:pPr>
        <w:keepNext/>
        <w:spacing w:before="200" w:after="80"/>
        <w:jc w:val="both"/>
      </w:pPr>
      <w:r>
        <w:rPr>
          <w:rFonts w:ascii="Times New Roman" w:hAnsi="Times New Roman"/>
          <w:b/>
          <w:sz w:val="21"/>
        </w:rPr>
        <w:t>5.6 Transaction Throughput Profiling Under High-Volume Load</w:t>
      </w:r>
    </w:p>
    <w:p>
      <w:pPr>
        <w:spacing w:line="276" w:lineRule="auto" w:after="120"/>
        <w:jc w:val="both"/>
      </w:pPr>
      <w:r>
        <w:rPr>
          <w:rFonts w:ascii="Times New Roman" w:hAnsi="Times New Roman"/>
          <w:sz w:val="21"/>
        </w:rPr>
        <w:t>Stress testing evaluated platform throughput under simulated peak shopping volumes ranging from 100 to 2,000 transactions per second (TPS). Using asynchronous worker pools in Uvicorn and connection pooling in SQLAlchemy, the FastAPI server maintained zero packet loss at 1,200 TPS with an average latency of 24.5ms. Memory consumption peaked at 520 MB during continuous 2,000 TPS bursts, confirming that the lightweight Python architecture handles high enterprise payment volumes on standard server hardware.</w:t>
      </w:r>
    </w:p>
    <w:p>
      <w:pPr>
        <w:keepNext/>
        <w:spacing w:before="200" w:after="80"/>
        <w:jc w:val="both"/>
      </w:pPr>
      <w:r>
        <w:rPr>
          <w:rFonts w:ascii="Times New Roman" w:hAnsi="Times New Roman"/>
          <w:b/>
          <w:sz w:val="21"/>
        </w:rPr>
        <w:t>5.7 Ablation Study on Supervised Alpha Weighting Coefficient</w:t>
      </w:r>
    </w:p>
    <w:p>
      <w:pPr>
        <w:spacing w:line="276" w:lineRule="auto" w:after="120"/>
        <w:jc w:val="both"/>
      </w:pPr>
      <w:r>
        <w:rPr>
          <w:rFonts w:ascii="Times New Roman" w:hAnsi="Times New Roman"/>
          <w:sz w:val="21"/>
        </w:rPr>
        <w:t>An ablation study evaluated classifier ROC-AUC and F1-score across weighting coefficient alpha values ranging from 0.0 (100% Isolation Forest) to 1.0 (100% Random Forest) in increments of 0.1. Pure Isolation Forest (alpha=0.0) yielded ROC-AUC=0.935 due to lack of supervised fraud domain features. Pure Random Forest (alpha=1.0) yielded ROC-AUC=0.968 but missed novel zero-day attack probes. The optimal performance occurred at alpha=0.70 (ROC-AUC=0.982, F1-Score=93.0%), confirming that balancing supervised pattern matching with unsupervised anomaly detection maximizes total fraud detection coverage.</w:t>
      </w:r>
    </w:p>
    <w:p>
      <w:pPr>
        <w:keepNext/>
        <w:spacing w:before="280" w:after="120"/>
        <w:jc w:val="left"/>
      </w:pPr>
      <w:r>
        <w:rPr>
          <w:rFonts w:ascii="Times New Roman" w:hAnsi="Times New Roman"/>
          <w:b/>
          <w:sz w:val="24"/>
        </w:rPr>
        <w:t>6. DISCUSSION</w:t>
      </w:r>
    </w:p>
    <w:p>
      <w:pPr>
        <w:spacing w:line="276" w:lineRule="auto" w:after="120"/>
        <w:jc w:val="both"/>
      </w:pPr>
      <w:r>
        <w:rPr>
          <w:rFonts w:ascii="Times New Roman" w:hAnsi="Times New Roman"/>
          <w:sz w:val="21"/>
        </w:rPr>
        <w:t>The experimental results demonstrate that combining explainable machine learning with a permissioned cryptographic blockchain resolves the key vulnerabilities of legacy banking security. Surfacing SHAP feature attributions eliminates the black-box nature of automated fraud blocking, providing cardholders and compliance officers with clear, mathematical justifications for every decision. Simultaneously, storing transaction state digests in a SHA-256 Merkle blockchain guarantees permanent auditability and prevents unauthorized database tampering.</w:t>
      </w:r>
    </w:p>
    <w:p>
      <w:pPr>
        <w:spacing w:line="276" w:lineRule="auto" w:after="120"/>
        <w:jc w:val="both"/>
      </w:pPr>
      <w:r>
        <w:rPr>
          <w:rFonts w:ascii="Times New Roman" w:hAnsi="Times New Roman"/>
          <w:sz w:val="21"/>
        </w:rPr>
        <w:t>A key design trade-off in this project was selecting a permissioned SHA-256 Merkle chain rather than a public proof-of-work blockchain like Bitcoin or Ethereum. While public blockchains provide global decentralization, their transaction confirmation times (minutes to hours) and high gas fees render them unviable for real-time point-of-sale retail credit card processing. The permissioned local ledger architecture achieves sub-20ms latency and zero transaction fees while maintaining mathematical immutability.</w:t>
      </w:r>
    </w:p>
    <w:p>
      <w:pPr>
        <w:keepNext/>
        <w:spacing w:before="200" w:after="80"/>
        <w:jc w:val="both"/>
      </w:pPr>
      <w:r>
        <w:rPr>
          <w:rFonts w:ascii="Times New Roman" w:hAnsi="Times New Roman"/>
          <w:b/>
          <w:sz w:val="21"/>
        </w:rPr>
        <w:t>6.1 Privacy Preservation in Shared Ledger Networks</w:t>
      </w:r>
    </w:p>
    <w:p>
      <w:pPr>
        <w:spacing w:line="276" w:lineRule="auto" w:after="120"/>
        <w:jc w:val="both"/>
      </w:pPr>
      <w:r>
        <w:rPr>
          <w:rFonts w:ascii="Times New Roman" w:hAnsi="Times New Roman"/>
          <w:sz w:val="21"/>
        </w:rPr>
        <w:t>Maintaining customer privacy on a shared audit ledger requires strict cryptographic safeguards. Direct exposure of raw credit card numbers or personal names on a blockchain ledger violates PCI-DSS and GDPR regulations. The platform resolves this by storing only truncated, salted cryptographic hashes (SHA-256) of card identifiers on the blockchain ledger, while preserving sensitive personal data inside the access-controlled bank_core.db instance. Audit compliance officers can verify that a specific transaction occurred without exposing plaintext cardholder credentials.</w:t>
      </w:r>
    </w:p>
    <w:p>
      <w:pPr>
        <w:keepNext/>
        <w:spacing w:before="200" w:after="80"/>
        <w:jc w:val="both"/>
      </w:pPr>
      <w:r>
        <w:rPr>
          <w:rFonts w:ascii="Times New Roman" w:hAnsi="Times New Roman"/>
          <w:b/>
          <w:sz w:val="21"/>
        </w:rPr>
        <w:t>6.2 Operational Trade-offs and Database Storage Overhead</w:t>
      </w:r>
    </w:p>
    <w:p>
      <w:pPr>
        <w:spacing w:line="276" w:lineRule="auto" w:after="120"/>
        <w:jc w:val="both"/>
      </w:pPr>
      <w:r>
        <w:rPr>
          <w:rFonts w:ascii="Times New Roman" w:hAnsi="Times New Roman"/>
          <w:sz w:val="21"/>
        </w:rPr>
        <w:t>While triple database isolation enhances security, it increases storage overhead. Maintaining separate SQLite instances for core banking, SOC telemetry, and blockchain blocks increases disk consumption by approximately 22% compared to a single monolithic database. However, given modern storage capacities, this modest overhead is justified by the complete elimination of single-point-of-failure risks and the enforcement of privilege separation.</w:t>
      </w:r>
    </w:p>
    <w:p>
      <w:pPr>
        <w:keepNext/>
        <w:spacing w:before="200" w:after="80"/>
        <w:jc w:val="both"/>
      </w:pPr>
      <w:r>
        <w:rPr>
          <w:rFonts w:ascii="Times New Roman" w:hAnsi="Times New Roman"/>
          <w:b/>
          <w:sz w:val="21"/>
        </w:rPr>
        <w:t>6.3 Adversarial Attack Resilience and Robustness</w:t>
      </w:r>
    </w:p>
    <w:p>
      <w:pPr>
        <w:spacing w:line="276" w:lineRule="auto" w:after="120"/>
        <w:jc w:val="both"/>
      </w:pPr>
      <w:r>
        <w:rPr>
          <w:rFonts w:ascii="Times New Roman" w:hAnsi="Times New Roman"/>
          <w:sz w:val="21"/>
        </w:rPr>
        <w:t>Adversarial machine learning presents an emerging threat, where sophisticated attackers craft transaction inputs specifically designed to evade classifier feature thresholds. The proposed platform mitigates adversarial evasion through two mechanisms: first, the Isolation Forest model detects statistical anomalies even when supervised decision tree thresholds are evaded; second, the automated security auto-repair engine updates model feature weights dynamically whenever a dispute recovery workflow confirms a novel fraud tactic.</w:t>
      </w:r>
    </w:p>
    <w:p>
      <w:pPr>
        <w:keepNext/>
        <w:spacing w:before="200" w:after="80"/>
        <w:jc w:val="both"/>
      </w:pPr>
      <w:r>
        <w:rPr>
          <w:rFonts w:ascii="Times New Roman" w:hAnsi="Times New Roman"/>
          <w:b/>
          <w:sz w:val="21"/>
        </w:rPr>
        <w:t>6.4 Regulatory Mapping to International Financial Compliance Standards</w:t>
      </w:r>
    </w:p>
    <w:p>
      <w:pPr>
        <w:spacing w:line="276" w:lineRule="auto" w:after="120"/>
        <w:jc w:val="both"/>
      </w:pPr>
      <w:r>
        <w:rPr>
          <w:rFonts w:ascii="Times New Roman" w:hAnsi="Times New Roman"/>
          <w:sz w:val="21"/>
        </w:rPr>
        <w:t>The proposed architecture directly maps to major international cybersecurity and financial compliance frameworks. Table III highlights how system components fulfill requirements specified under PCI-DSS 4.0 (Requirement 10: Tracking and Monitoring Network Access), GDPR Article 22 (Automated Individual Decision-Making and Right to Explanation), SOC 2 Type II (Trust Services Criteria for Security and Confidentiality), and ISO/IEC 27001 (Control A.12.4: Logging and Monitoring).</w:t>
      </w:r>
    </w:p>
    <w:p>
      <w:pPr>
        <w:keepNext/>
        <w:spacing w:before="280" w:after="120"/>
        <w:jc w:val="left"/>
      </w:pPr>
      <w:r>
        <w:rPr>
          <w:rFonts w:ascii="Times New Roman" w:hAnsi="Times New Roman"/>
          <w:b/>
          <w:sz w:val="24"/>
        </w:rPr>
        <w:t>7. CONCLUSION</w:t>
      </w:r>
    </w:p>
    <w:p>
      <w:pPr>
        <w:spacing w:line="276" w:lineRule="auto" w:after="120"/>
        <w:jc w:val="both"/>
      </w:pPr>
      <w:r>
        <w:rPr>
          <w:rFonts w:ascii="Times New Roman" w:hAnsi="Times New Roman"/>
          <w:sz w:val="21"/>
        </w:rPr>
        <w:t>This thesis successfully demonstrates a full-stack, explainable, and cryptographically secure Credit Card Fraud Detection and Defense Platform. By uniting Random Forest supervision, Isolation Forest anomaly scoring, SHAP local feature attributions, and a permissioned SHA-256 Merkle blockchain ledger, the platform delivers transparent fraud decisioning and tamper-proof auditability. Performance evaluations confirm high classification accuracy (99.4%), strong ROC-AUC (0.982), and sub-18ms execution latencies, providing a scalable blueprint for modern financial security infrastructure.</w:t>
      </w:r>
    </w:p>
    <w:p>
      <w:pPr>
        <w:spacing w:line="276" w:lineRule="auto" w:after="120"/>
        <w:jc w:val="both"/>
      </w:pPr>
      <w:r>
        <w:rPr>
          <w:rFonts w:ascii="Times New Roman" w:hAnsi="Times New Roman"/>
          <w:sz w:val="21"/>
        </w:rPr>
        <w:t>Future research directions include deploying zero-knowledge proof (zk-SNARK) protocols to enable cross-bank fraud sharing without exposing raw transaction metadata, integrating Graph Neural Networks (GNNs) to detect complex multi-account money laundering rings, and migrating permissioned ledger consensus to a distributed Raft fault-tolerant node network.</w:t>
      </w:r>
    </w:p>
    <w:p>
      <w:pPr>
        <w:keepNext/>
        <w:spacing w:before="280" w:after="120"/>
        <w:jc w:val="left"/>
      </w:pPr>
      <w:r>
        <w:rPr>
          <w:rFonts w:ascii="Times New Roman" w:hAnsi="Times New Roman"/>
          <w:b/>
          <w:sz w:val="24"/>
        </w:rPr>
        <w:t>REFERENCES</w:t>
      </w:r>
    </w:p>
    <w:p>
      <w:pPr>
        <w:spacing w:line="276" w:lineRule="auto" w:after="80"/>
        <w:jc w:val="both"/>
      </w:pPr>
      <w:r>
        <w:rPr>
          <w:rFonts w:ascii="Times New Roman" w:hAnsi="Times New Roman"/>
          <w:sz w:val="19"/>
        </w:rPr>
        <w:t>[1] Nakamoto, S. (2008) 'Bitcoin: A Peer-to-Peer Electronic Cash System', Decentralized Business Review, p. 21260.</w:t>
      </w:r>
    </w:p>
    <w:p>
      <w:pPr>
        <w:spacing w:line="276" w:lineRule="auto" w:after="80"/>
        <w:jc w:val="both"/>
      </w:pPr>
      <w:r>
        <w:rPr>
          <w:rFonts w:ascii="Times New Roman" w:hAnsi="Times New Roman"/>
          <w:sz w:val="19"/>
        </w:rPr>
        <w:t>[2] Wood, G. (2014) 'Ethereum: A secure decentralised generalised transaction ledger', Ethereum project yellow paper, 151, pp. 1-32.</w:t>
      </w:r>
    </w:p>
    <w:p>
      <w:pPr>
        <w:spacing w:line="276" w:lineRule="auto" w:after="80"/>
        <w:jc w:val="both"/>
      </w:pPr>
      <w:r>
        <w:rPr>
          <w:rFonts w:ascii="Times New Roman" w:hAnsi="Times New Roman"/>
          <w:sz w:val="19"/>
        </w:rPr>
        <w:t>[3] Breiman, L. (2001) 'Random Forests', Machine Learning, 45(1), pp. 5-32.</w:t>
      </w:r>
    </w:p>
    <w:p>
      <w:pPr>
        <w:spacing w:line="276" w:lineRule="auto" w:after="80"/>
        <w:jc w:val="both"/>
      </w:pPr>
      <w:r>
        <w:rPr>
          <w:rFonts w:ascii="Times New Roman" w:hAnsi="Times New Roman"/>
          <w:sz w:val="19"/>
        </w:rPr>
        <w:t>[4] Liu, F. T., Ting, K. M., and Zhou, Z. H. (2008) 'Isolation Forest', Proceedings of IEEE International Conference on Data Mining, pp. 413-422.</w:t>
      </w:r>
    </w:p>
    <w:p>
      <w:pPr>
        <w:spacing w:line="276" w:lineRule="auto" w:after="80"/>
        <w:jc w:val="both"/>
      </w:pPr>
      <w:r>
        <w:rPr>
          <w:rFonts w:ascii="Times New Roman" w:hAnsi="Times New Roman"/>
          <w:sz w:val="19"/>
        </w:rPr>
        <w:t>[5] Lundberg, S. M. and Lee, S. I. (2017) 'A Unified Approach to Interpreting Model Predictions', Advances in Neural Information Processing Systems, 30, pp. 4765-4774.</w:t>
      </w:r>
    </w:p>
    <w:p>
      <w:pPr>
        <w:spacing w:line="276" w:lineRule="auto" w:after="80"/>
        <w:jc w:val="both"/>
      </w:pPr>
      <w:r>
        <w:rPr>
          <w:rFonts w:ascii="Times New Roman" w:hAnsi="Times New Roman"/>
          <w:sz w:val="19"/>
        </w:rPr>
        <w:t>[6] Dal Pozzolo, A., Caelen, O., Johnson, R. A., and Bontempi, G. (2015) 'Calibrating Probability with Undersampling for Fraud Detection in Credit Card Transactions', Computational Intelligence, 31(4), pp. 621-643.</w:t>
      </w:r>
    </w:p>
    <w:p>
      <w:pPr>
        <w:spacing w:line="276" w:lineRule="auto" w:after="80"/>
        <w:jc w:val="both"/>
      </w:pPr>
      <w:r>
        <w:rPr>
          <w:rFonts w:ascii="Times New Roman" w:hAnsi="Times New Roman"/>
          <w:sz w:val="19"/>
        </w:rPr>
        <w:t>[7] Merkle, R. C. (1987) 'A Digital Signature Based on a Conventional Encryption Function', Advances in Cryptology — CRYPTO '87, Springer, pp. 369-378.</w:t>
      </w:r>
    </w:p>
    <w:p>
      <w:pPr>
        <w:spacing w:line="276" w:lineRule="auto" w:after="80"/>
        <w:jc w:val="both"/>
      </w:pPr>
      <w:r>
        <w:rPr>
          <w:rFonts w:ascii="Times New Roman" w:hAnsi="Times New Roman"/>
          <w:sz w:val="19"/>
        </w:rPr>
        <w:t>[8] Bhattacharyya, S., Jha, S., Tharakunnel, K., and Westland, J. C. (2011) 'Data mining for credit card fraud detection: A comparative study', Decision Support Systems, 50(3), pp. 602-613.</w:t>
      </w:r>
    </w:p>
    <w:p>
      <w:pPr>
        <w:spacing w:line="276" w:lineRule="auto" w:after="80"/>
        <w:jc w:val="both"/>
      </w:pPr>
      <w:r>
        <w:rPr>
          <w:rFonts w:ascii="Times New Roman" w:hAnsi="Times New Roman"/>
          <w:sz w:val="19"/>
        </w:rPr>
        <w:t>[9] Zcash Team (2019) 'Zcash Protocol Specification', Electric Coin Company Technical Report, Version 2019.0.0.</w:t>
      </w:r>
    </w:p>
    <w:p>
      <w:pPr>
        <w:spacing w:line="276" w:lineRule="auto" w:after="80"/>
        <w:jc w:val="both"/>
      </w:pPr>
      <w:r>
        <w:rPr>
          <w:rFonts w:ascii="Times New Roman" w:hAnsi="Times New Roman"/>
          <w:sz w:val="19"/>
        </w:rPr>
        <w:t>[10] Androulaki, E., Barger, A., Bortnikov, V., Cachin, C., Christidis, K., De Caro, A., Yellick, J., et al. (2018) 'Hyperledger Fabric: A Distributed Operating System for Permissioned Blockchains', Proceedings of ACM EuroSys, pp. 1-15.</w:t>
      </w:r>
    </w:p>
    <w:p>
      <w:pPr>
        <w:spacing w:line="276" w:lineRule="auto" w:after="80"/>
        <w:jc w:val="both"/>
      </w:pPr>
      <w:r>
        <w:rPr>
          <w:rFonts w:ascii="Times New Roman" w:hAnsi="Times New Roman"/>
          <w:sz w:val="19"/>
        </w:rPr>
        <w:t>[11] Caruana, R. and Niculescu-Mizil, A. (2006) 'An Empirical Comparison of Supervised Learning Algorithms', Proceedings of ACM ICML, pp. 161-168.</w:t>
      </w:r>
    </w:p>
    <w:p>
      <w:pPr>
        <w:spacing w:line="276" w:lineRule="auto" w:after="80"/>
        <w:jc w:val="both"/>
      </w:pPr>
      <w:r>
        <w:rPr>
          <w:rFonts w:ascii="Times New Roman" w:hAnsi="Times New Roman"/>
          <w:sz w:val="19"/>
        </w:rPr>
        <w:t>[12] Ben-Sasson, E., Chiesa, A., Garman, C., Green, M., Miers, I., Tromer, E., and Virza, M. (2014) 'Zerocash: Decentralized Anonymous Payments from Bitcoin', IEEE Symposium on Security and Privacy, pp. 459-474.</w:t>
      </w:r>
    </w:p>
    <w:p>
      <w:pPr>
        <w:spacing w:line="276" w:lineRule="auto" w:after="80"/>
        <w:jc w:val="both"/>
      </w:pPr>
      <w:r>
        <w:rPr>
          <w:rFonts w:ascii="Times New Roman" w:hAnsi="Times New Roman"/>
          <w:sz w:val="19"/>
        </w:rPr>
        <w:t>[13] Chen, T. and Guestrin, C. (2016) 'XGBoost: A Scalable Tree Boosting System', Proceedings of ACM SIGKDD, pp. 785-794.</w:t>
      </w:r>
    </w:p>
    <w:p>
      <w:pPr>
        <w:spacing w:line="276" w:lineRule="auto" w:after="80"/>
        <w:jc w:val="both"/>
      </w:pPr>
      <w:r>
        <w:rPr>
          <w:rFonts w:ascii="Times New Roman" w:hAnsi="Times New Roman"/>
          <w:sz w:val="19"/>
        </w:rPr>
        <w:t>[14] Chawla, N. V., Bowyer, K. W., Hall, L. O., and Kegelmeyer, W. P. (2002) 'SMOTE: Synthetic Minority Over-sampling Technique', Journal of Artificial Intelligence Research, 16, pp. 321-357.</w:t>
      </w:r>
    </w:p>
    <w:p>
      <w:pPr>
        <w:spacing w:line="276" w:lineRule="auto" w:after="80"/>
        <w:jc w:val="both"/>
      </w:pPr>
      <w:r>
        <w:rPr>
          <w:rFonts w:ascii="Times New Roman" w:hAnsi="Times New Roman"/>
          <w:sz w:val="19"/>
        </w:rPr>
        <w:t>[15] Szabo, N. (1997) 'Formalizing and Securing Relationships on Public Networks', First Monday, 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