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0"/>
          <w:szCs w:val="40"/>
        </w:rPr>
        <w:t xml:space="preserve">Solution Development Approach Document</w:t>
      </w:r>
    </w:p>
    <w:p>
      <w:pPr>
        <w:spacing w:after="240"/>
      </w:pPr>
      <w:r>
        <w:rPr>
          <w:i/>
          <w:iCs/>
          <w:color w:val="2E5395"/>
          <w:sz w:val="24"/>
          <w:szCs w:val="24"/>
        </w:rPr>
        <w:t xml:space="preserve">SAMP — Multi-Vertical Hospitality &amp; Space Management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Companion To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SAMP Enterprise BRD/SRS — Multi-Vertical Edition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Engineering Leadership, Solution Architects, Delivery / Implementation Partner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Draft for Kickoff Review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Covers Verticals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Star Hotels &amp; Resorts | Service Apartments | Apartment Rental &amp; Services | Workplace Management</w:t>
            </w:r>
          </w:p>
        </w:tc>
      </w:tr>
    </w:tbl>
    <w:p>
      <w:pPr>
        <w:spacing w:after="0" w:before="240"/>
      </w:pPr>
    </w:p>
    <w:p>
      <w:pPr>
        <w:pBdr>
          <w:bottom w:val="single" w:color="BFBFBF" w:sz="6" w:space="4"/>
        </w:pBdr>
        <w:spacing w:after="200"/>
      </w:pPr>
    </w:p>
    <w:p>
      <w:pPr>
        <w:pStyle w:val="Heading1"/>
      </w:pPr>
      <w:r>
        <w:t xml:space="preserve">1. Purpose &amp; Scope of This Document</w:t>
      </w:r>
    </w:p>
    <w:p>
      <w:pPr>
        <w:spacing w:after="160"/>
      </w:pPr>
      <w:r>
        <w:t xml:space="preserve">This Approach Document translates the SAMP BRD/SRS into an actionable plan for starting solution development. It is intended for whoever will build or oversee the build — an in-house engineering team, a delivery partner, or a hybrid — and answers four questions: how the work should be organised, what the system should be built on, in what order modules should be delivered, and what to do in the first few weeks.</w:t>
      </w:r>
    </w:p>
    <w:p>
      <w:pPr>
        <w:spacing w:after="160"/>
      </w:pPr>
      <w:r>
        <w:t xml:space="preserve">It does not replace the BRD/SRS as the source of functional truth; every module and requirement referenced here points back to the corresponding BRD section. Treat this document as the bridge between “what to build” (BRD/SRS) and “how we start building it.”</w:t>
      </w:r>
    </w:p>
    <w:p>
      <w:pPr>
        <w:pStyle w:val="Heading1"/>
      </w:pPr>
      <w:r>
        <w:t xml:space="preserve">2. Recommended Delivery Methodology</w:t>
      </w:r>
    </w:p>
    <w:p>
      <w:pPr>
        <w:spacing w:after="160"/>
      </w:pPr>
      <w:r>
        <w:t xml:space="preserve">Agile, in 2-week sprints, organised around the four BRD delivery phases rather than as one continuous backlog. </w:t>
      </w:r>
      <w:r>
        <w:t xml:space="preserve">This keeps each phase shippable and demoable, and lets a pilot property go live on Core + Operations modules (Phase 1–2) while Financial Integrations and AI/Analytics (Phase 3–4) are still in build.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Cross-functional pods, not one large team: </w:t>
      </w:r>
      <w:r>
        <w:t xml:space="preserve">form 2–3 small squads (Core Platform, Operations &amp; Mobile, Finance &amp; Integrations) that can work in parallel once the shared data model from Phase 1 is frozen.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Vertical pilots, not big-bang rollout: </w:t>
      </w:r>
      <w:r>
        <w:t xml:space="preserve">validate each business vertical (Hotel/Resort, Service Apartment, Rental, Workplace) on one pilot property before scaling to the full portfolio — this surfaces vertical-specific gaps early and cheaply.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Definition of Done includes the NFRs: </w:t>
      </w:r>
      <w:r>
        <w:t xml:space="preserve">no story is “done” until it meets the relevant non-functional bar from BRD Section 4 (API latency, audit logging, encryption), not just functional acceptance criteria.</w:t>
      </w:r>
    </w:p>
    <w:p>
      <w:pPr>
        <w:pStyle w:val="Heading1"/>
      </w:pPr>
      <w:r>
        <w:t xml:space="preserve">3. Solution Architecture Approach</w:t>
      </w:r>
    </w:p>
    <w:p>
      <w:pPr>
        <w:pStyle w:val="Heading2"/>
      </w:pPr>
      <w:r>
        <w:t xml:space="preserve">3.1 Architecture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Single core, configurable by vertical: </w:t>
      </w:r>
      <w:r>
        <w:t xml:space="preserve">one shared services layer (reservation, finance, maintenance, vendor, HRMS) parameterised by Vertical Type, rather than separate codebases per business line (per BRD Section 1.4).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API-first: </w:t>
      </w:r>
      <w:r>
        <w:t xml:space="preserve">every module exposes a versioned REST/JSON API from day one, even before a UI exists, so mobile apps, partner integrations, and future modules consume the same contract.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Event-driven where state must propagate: </w:t>
      </w:r>
      <w:r>
        <w:t xml:space="preserve">booking, checkout, and lease-status changes publish events so dependent modules (housekeeping, billing, channel sync) react without tight coupling.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Modular monolith first, microservices where it earns its cost: </w:t>
      </w:r>
      <w:r>
        <w:t xml:space="preserve">start with a small number of well-bounded services (Property/Inventory, Reservation &amp; Billing, Identity &amp; Access, Operations) and only split further when a module's load or release cadence demands it — avoids premature infrastructure overhead.</w:t>
      </w:r>
    </w:p>
    <w:p>
      <w:pPr>
        <w:pStyle w:val="Heading2"/>
      </w:pPr>
      <w:r>
        <w:t xml:space="preserve">3.2 High-Level Architecture Layers</w:t>
      </w:r>
    </w:p>
    <w:p>
      <w:pPr>
        <w:spacing w:after="160"/>
      </w:pPr>
      <w:r>
        <w:t xml:space="preserve">A simplified view of how requests and data flow through the platform:</w:t>
      </w:r>
    </w:p>
    <w:p>
      <w:pPr>
        <w:spacing w:after="200"/>
        <w:jc w:val="center"/>
      </w:pPr>
      <w:r>
        <w:drawing>
          <wp:inline distT="0" distB="0" distL="0" distR="0">
            <wp:extent cx="5829300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3.3 Recommended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4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Web Console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React (Next.js) + Tailwind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Fast iteration, strong component ecosystem, good fit for dashboards and admin UIs.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Mobile Apps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React Native (or Flutter)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One codebase across Guest, Resident, Operations, and Facility apps reduces parallel-build cost.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Backend Services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Node.js (NestJS) or Java (Spring Boot)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Either supports modular-monolith-to-microservices growth; pick based on existing team strength.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PostgreSQL (multi-tenant, row-level security)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Relational integrity for financial/lease data; RLS enforces the property/tenant data separation in BRD Section 2.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Cache / Sessions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Redis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Sub-200ms read targets (BRD 4.1) need a cache layer in front of the relational store.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Eventing / Messaging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Kafka or RabbitMQ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Decouples booking/checkout events from housekeeping, billing, and channel-sync consumers.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Kong or cloud-native (AWS API GW / Azure APIM)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Centralises auth, rate limiting, and routing across all module APIs.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Identity &amp; Auth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OAuth2/OIDC provider (e.g. Keycloak / Auth0) + MFA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Matches BRD Section 4.2 MFA and RBAC requirements without building auth from scratch.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Kubernetes on a major cloud (AWS/Azure/GCP)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Meets the stateless, auto-scaling requirement in BRD Section 4.3.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GitHub Actions / GitLab CI + ArgoCD (GitOps)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Repeatable deploys across Dev/QA/UAT/Prod environments.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3.4 Multi-Tenancy &amp; Vertical Configuration Model</w:t>
      </w:r>
    </w:p>
    <w:p>
      <w:pPr>
        <w:spacing w:after="160"/>
      </w:pPr>
      <w:r>
        <w:t xml:space="preserve">Each property record carries a Vertical Type attribute (Hotel / Service Apartment / Rental / Workplace) as described in BRD Section 3.1. Recommended implementation: a shared schema with a tenant_id and vertical_type discriminator on core tables, plus vertical-specific extension tables (lease_agreements, desk_bookings) that join back to the same unit/inventory record. This avoids forking the schema per vertical while still letting Section 3.10/3.11 modules attach cleanly. Large enterprise clients with strict data-isolation needs can be offered a schema-per-tenant variant later without changing the application layer.</w:t>
      </w:r>
    </w:p>
    <w:p>
      <w:pPr>
        <w:pStyle w:val="Heading1"/>
      </w:pPr>
      <w:r>
        <w:t xml:space="preserve">4. Phased Delivery Plan</w:t>
      </w:r>
    </w:p>
    <w:p>
      <w:pPr>
        <w:spacing w:after="160"/>
      </w:pPr>
      <w:r>
        <w:t xml:space="preserve">Mapped directly to the roadmap in BRD Section 8, with delivery-specific exit criteria added: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3520"/>
        <w:gridCol w:w="344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3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3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1. Core Engine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1–12</w:t>
            </w:r>
          </w:p>
        </w:tc>
        <w:tc>
          <w:tcPr>
            <w:tcW w:type="dxa" w:w="3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Data model, multi-tenant + vertical-config framework, Property/Asset Register, base RBAC.</w:t>
            </w:r>
          </w:p>
        </w:tc>
        <w:tc>
          <w:tcPr>
            <w:tcW w:type="dxa" w:w="3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 property can be onboarded end-to-end for any of the 4 verticals without a code change.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2. Operational Workflows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13–20</w:t>
            </w:r>
          </w:p>
        </w:tc>
        <w:tc>
          <w:tcPr>
            <w:tcW w:type="dxa" w:w="3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Front Desk UI, Channel Manager sync, Operations mobile app, Lease &amp; Tenancy pilot, Workplace booking pilot.</w:t>
            </w:r>
          </w:p>
        </w:tc>
        <w:tc>
          <w:tcPr>
            <w:tcW w:type="dxa" w:w="3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One pilot property per vertical is running daily operations on the platform.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3. Financial &amp; Integrations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21–28</w:t>
            </w:r>
          </w:p>
        </w:tc>
        <w:tc>
          <w:tcPr>
            <w:tcW w:type="dxa" w:w="3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Payment gateways, identity verification, ERP sync, HRMS/Payroll, Vendor portal.</w:t>
            </w:r>
          </w:p>
        </w:tc>
        <w:tc>
          <w:tcPr>
            <w:tcW w:type="dxa" w:w="3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Financial transactions reconcile automatically across all pilot properties with zero manual entries.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4. AI &amp; Yield / Go-Live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29–36</w:t>
            </w:r>
          </w:p>
        </w:tc>
        <w:tc>
          <w:tcPr>
            <w:tcW w:type="dxa" w:w="3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Predictive maintenance &amp; dynamic pricing models, Executive Dashboards, security pen-test.</w:t>
            </w:r>
          </w:p>
        </w:tc>
        <w:tc>
          <w:tcPr>
            <w:tcW w:type="dxa" w:w="3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NFR targets (99.9% uptime, &lt;200ms reads) verified under load; full portfolio cut-over approved.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5. Team Structure &amp; Governance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260"/>
        <w:gridCol w:w="200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Engaged From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Owns the backlog, prioritises against BRD modules, signs off on vertical pilot scope.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Solution Architect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Owns the shared core + vertical-configuration model; approves API contracts.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Business Analyst / Vertical SMEs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Validate hotel, leasing, and workplace workflows against real operational practice.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Phase 1–2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Backend / Frontend / Mobile Engineers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Build the module squads described in Section 2.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Phase 1 onward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DevOps / Platform Engineer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Environments, CI/CD, observability (Section 6).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QA / Test Engineer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Test strategy execution (Section 8), NFR verification before each phase exit.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Phase 1 onward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Security &amp; Compliance Lead</w:t>
            </w:r>
          </w:p>
        </w:tc>
        <w:tc>
          <w:tcPr>
            <w:tcW w:type="dxa" w:w="5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MFA, encryption, audit-trail review, pen-test sign-off before go-live.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Phase 3–4</w:t>
            </w:r>
          </w:p>
        </w:tc>
      </w:tr>
    </w:tbl>
    <w:p>
      <w:pPr>
        <w:spacing w:before="200"/>
      </w:pPr>
    </w:p>
    <w:p>
      <w:pPr>
        <w:spacing w:after="160"/>
      </w:pPr>
      <w:r>
        <w:t xml:space="preserve">Governance cadence: a steering committee (Product Owner, Architect, Sponsor) reviews progress at each phase boundary; any change to BRD-defined scope goes through a lightweight change-control note rather than ad-hoc Slack agreement, so the BRD stays the single source of truth.</w:t>
      </w:r>
    </w:p>
    <w:p>
      <w:pPr>
        <w:pStyle w:val="Heading1"/>
      </w:pPr>
      <w:r>
        <w:t xml:space="preserve">6. Environment &amp; DevOps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Four environments: </w:t>
      </w:r>
      <w:r>
        <w:t xml:space="preserve">Dev (per-feature ephemeral or shared), QA/Staging (integration testing), UAT (vertical-pilot sign-off), Production (blue-green deploys to avoid downtime during the 99.9% uptime window).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Infrastructure as Code: </w:t>
      </w:r>
      <w:r>
        <w:t xml:space="preserve">Terraform (or equivalent) for all cloud resources so a new property's infrastructure footprint is reproducible, supporting the 48-hour onboarding target in BRD Section 1.3.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Pipeline stages: </w:t>
      </w:r>
      <w:r>
        <w:t xml:space="preserve">build → unit test → static/security scan → deploy to staging → integration tests → manual UAT gate → production deploy.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Observability: </w:t>
      </w:r>
      <w:r>
        <w:t xml:space="preserve">centralized logging (e.g. ELK/OpenSearch), metrics and dashboards (Prometheus/Grafana), and alerting wired to the same uptime/latency SLAs defined in BRD Section 4.1 from day one — not bolted on before go-live.</w:t>
      </w:r>
    </w:p>
    <w:p>
      <w:pPr>
        <w:pStyle w:val="Heading1"/>
      </w:pPr>
      <w:r>
        <w:t xml:space="preserve">7. Data &amp; Integration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Canonical hierarchy first: </w:t>
      </w:r>
      <w:r>
        <w:t xml:space="preserve">implement the Global Enterprise → Region → Property → Vertical Type → Building → Floor → Unit/Desk model (BRD 3.1) before any module-specific schema, since every other module hangs off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Migration plan if replacing a legacy PMS: </w:t>
      </w:r>
      <w:r>
        <w:t xml:space="preserve">run the new platform in shadow/parallel against one pilot property, reconcile nightly, and only cut over once ledgers match for two consecutive billing cycles.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Integration sequencing: </w:t>
      </w:r>
      <w:r>
        <w:t xml:space="preserve">build Payments and Identity/KYC first (revenue- and compliance-critical), then OTA Channel Manager, then IoT smart-lock hardware, then ERP sync, and AI/predictive integrations last — mirrors the BRD Section 5 dependency order and the phased roadmap.</w:t>
      </w:r>
    </w:p>
    <w:p>
      <w:pPr>
        <w:pStyle w:val="Heading1"/>
      </w:pPr>
      <w:r>
        <w:t xml:space="preserve">8. Testing &amp; Quality Assurance Approach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Unit &amp; contract tests: </w:t>
      </w:r>
      <w:r>
        <w:t xml:space="preserve">per service, run in CI on every commit; contract tests guard the API boundaries between squads.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End-to-end journeys: </w:t>
      </w:r>
      <w:r>
        <w:t xml:space="preserve">automate the user stories already defined in BRD Section 7 (e.g. Touchless Pre-Arrival Onboarding, Algorithmic Housekeeping Routing) plus equivalent journeys for Lease onboarding and Workplace desk booking.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Performance &amp; load testing: </w:t>
      </w:r>
      <w:r>
        <w:t xml:space="preserve">validate against the concrete NFR numbers in BRD Section 4.1 (200ms reads, 800ms writes, 10,000 concurrent sessions) before each phase exit, not only before final go-live.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Security testing: </w:t>
      </w:r>
      <w:r>
        <w:t xml:space="preserve">a full penetration test is scheduled in Phase 4 per the roadmap, but basic dependency and static-analysis scanning runs in CI from Phase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Pilot UAT: </w:t>
      </w:r>
      <w:r>
        <w:t xml:space="preserve">each vertical's pilot property runs a 2–4 week parallel/shadow UAT with real operational staff before that vertical is marked ready to scale.</w:t>
      </w:r>
    </w:p>
    <w:p>
      <w:pPr>
        <w:pStyle w:val="Heading1"/>
      </w:pPr>
      <w:r>
        <w:t xml:space="preserve">9.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Vertical scope creep during build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Delays Phase 1 core freeze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Lock the shared data model at end of Phase 1; new vertical-specific needs go into Section 3.10/3.11-style extensions, not the core schema.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Hardware/IoT vendor delays (locks, LPR)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Blocks Workplace access-control and Hotel digital-key features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Select and contract hardware vendors during Phase 1, in parallel with software build, not after.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Regional regulatory variance (RERA, labour law, fire codes)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Compliance gaps for Rental and Hotel verticals across regions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Treat compliance rules as configurable data (BRD 3.1 Compliance Vault), not hard-coded logic, from the first schema design.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Legacy PMS migration data quality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Incorrect ledgers/occupancy at cutover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Run shadow/parallel reconciliation (Section 7) for at least two billing cycles before retiring the legacy system.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Ops staff resistance to new workflows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Low adoption despite a working system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Involve vertical SMEs (Section 5) from Phase 1 design, and run pilot UAT with the same staff who will use it daily.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10. Immediate Next Steps (First 2–4 Weeks)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Hold a kickoff workshop to walk the BRD/SRS module-by-module with engineering, and formally sign off scope for Phase 1.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Confirm one pilot property per vertical (one star hotel or resort, one service-apartment property, one rental community, one workplace/coworking site) to anchor UAT later.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Finalise the technology stack and cloud provider (Section 3.3), and stand up the four environments (Section 6).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Run an architecture spike to prove the Vertical Type configuration model (Section 3.4) against at least two verticals before building further modules on top of it.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Stand up core repositories, CI/CD skeleton, and the API gateway shell.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Define and circulate API contracts for the Property/Inventory and Reservation modules — these are the dependencies every other squad needs.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Start vendor shortlisting for OTA Channel Manager, payment gateway, and smart-lock hardware in parallel (these have the longest external lead times).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Break BRD Section 3 modules into epics and stories in the backlog, prioritised MoSCoW-style for Phase 1.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Agree sprint cadence, Definition of Done (including NFR checks), and the steering-committee review schedule from Section 5.</w:t>
      </w:r>
    </w:p>
    <w:p>
      <w:pPr>
        <w:pStyle w:val="Heading1"/>
      </w:pPr>
      <w:r>
        <w:t xml:space="preserve">11. MVP Success / Phase 2 Exit Criteria</w:t>
      </w:r>
    </w:p>
    <w:p>
      <w:pPr>
        <w:spacing w:after="160"/>
      </w:pPr>
      <w:r>
        <w:t xml:space="preserve">Treat the platform as having reached a viable MVP when all of the following are true, not just when features are “code complete”: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Functional: </w:t>
      </w:r>
      <w:r>
        <w:t xml:space="preserve">one pilot property per vertical is running real day-to-day operations (reservations/leases/bookings, housekeeping or facility requests, and billing) on the platform with no manual workaround spreadsheets.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Data: </w:t>
      </w:r>
      <w:r>
        <w:t xml:space="preserve">the canonical hierarchy and vertical-configuration model support all four verticals without schema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Non-functional: </w:t>
      </w:r>
      <w:r>
        <w:t xml:space="preserve">staging load tests meet the BRD Section 4.1 latency and concurrency targets.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3864"/>
        </w:rPr>
        <w:t xml:space="preserve">Operational: </w:t>
      </w:r>
      <w:r>
        <w:t xml:space="preserve">ops staff at each pilot property can complete their daily workflow without engineering support for at least one full week.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of </w:t>
    </w:r>
    <w:r>
      <w:rPr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26"/>
      </w:tabs>
    </w:pPr>
    <w:r>
      <w:rPr>
        <w:color w:val="7F7F7F"/>
        <w:sz w:val="16"/>
        <w:szCs w:val="16"/>
      </w:rPr>
      <w:t xml:space="preserve">SAMP — Solution Development Approach</w:t>
    </w:r>
    <w:r>
      <w:rPr>
        <w:color w:val="7F7F7F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3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337ec9973f020715580067fd39f3ef6aaa2e6e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2026-06-18T11:47:48.740Z</dcterms:created>
  <dcterms:modified xsi:type="dcterms:W3CDTF">2026-06-18T11:47:48.740Z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