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b/>
          <w:bCs/>
        </w:rPr>
        <w:t xml:space="preserve">Sharing Verified Documents with Banks</w:t>
      </w:r>
    </w:p>
    <w:p>
      <w:pPr>
        <w:spacing w:after="300"/>
      </w:pPr>
      <w:r>
        <w:rPr>
          <w:i/>
          <w:iCs/>
          <w:color w:val="6B7280"/>
        </w:rPr>
        <w:t xml:space="preserve">Cross-Border Trade Finance — how verified, hashed documents move to a bank once Stage 6 (Document Submission &amp; Bank Scrutiny) is complete</w:t>
      </w:r>
    </w:p>
    <w:p>
      <w:pPr>
        <w:pStyle w:val="Heading1"/>
        <w:spacing w:after="150" w:before="300"/>
      </w:pPr>
      <w:r>
        <w:t xml:space="preserve">Overview</w:t>
      </w:r>
    </w:p>
    <w:p>
      <w:pPr>
        <w:spacing w:after="120"/>
      </w:pPr>
      <w:r>
        <w:t xml:space="preserve">Once documents are verified and hashed on the shared ledger, there are three ways they reach a bank, depending on whether that bank is integrated with our platform: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bank uses our application — documents are shared in-app, with no file transfer at all.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bank does not use our application, but a secure link is acceptable — a one-time, expiring link gives controlled, verifiable access without full onboarding.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bank does not use our application and prefers email — the least automated option, requiring extra manual safeguards to preserve traceability.</w:t>
      </w:r>
    </w:p>
    <w:p>
      <w:pPr>
        <w:spacing w:after="120"/>
      </w:pPr>
      <w:r>
        <w:rPr>
          <w:color w:val="1F2937"/>
        </w:rPr>
        <w:t xml:space="preserve">All three paths converge on the same outcome: the bank receives a tamper-evident, verifiable copy of the documents, and the event is recorded in our audit trail — automatically for the first two, and via manual reconciliation for email.</w:t>
      </w:r>
    </w:p>
    <w:p>
      <w:pPr>
        <w:pStyle w:val="Heading1"/>
        <w:spacing w:after="150" w:before="300"/>
      </w:pPr>
      <w:r>
        <w:t xml:space="preserve">Channel 1 — Bank Uses Our Platform (In-App / API Sharing)</w:t>
      </w:r>
    </w:p>
    <w:p>
      <w:pPr>
        <w:spacing w:after="120"/>
      </w:pPr>
      <w:r>
        <w:t xml:space="preserve">This is the simplest and most secure path, since both parties already share the same system of record.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Bank logs into the shared workspace using SSO or bank credentials on the same tenant.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Bank pulls documents via API or views them directly on the dashboard — the same document set the exporter submitted.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platform automatically checks the document hash against the ledger record; no separate verification step is needed.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Every bank action — view, download, or approve — is timestamped and written to the audit trail.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Because nothing is copied or transferred, there is a single source of truth that both sides see identically.</w:t>
      </w:r>
    </w:p>
    <w:p>
      <w:pPr>
        <w:pStyle w:val="Heading1"/>
        <w:spacing w:after="150" w:before="300"/>
      </w:pPr>
      <w:r>
        <w:t xml:space="preserve">Channel 2 — Bank Off-Platform, Secure Link</w:t>
      </w:r>
    </w:p>
    <w:p>
      <w:pPr>
        <w:spacing w:after="120"/>
      </w:pPr>
      <w:r>
        <w:t xml:space="preserve">Used when the bank isn't onboarded but a fast, secure, verifiable channel is still needed.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Platform generates a one-time, expiring, tokenized URL — no login or onboarding required to open it.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The link is sent to the bank's authorized contact through a registered channel (email or SMS).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The bank opens the link in a browser and views or downloads the documents over an encrypted (TLS) connection.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The bank can independently confirm authenticity by checking the document hash on our public verification page.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Every view or download event is logged back into our audit trail automatically.</w:t>
      </w:r>
    </w:p>
    <w:p>
      <w:pPr>
        <w:pStyle w:val="Heading1"/>
        <w:spacing w:after="150" w:before="300"/>
      </w:pPr>
      <w:r>
        <w:t xml:space="preserve">Channel 3 — Bank Off-Platform, Email</w:t>
      </w:r>
    </w:p>
    <w:p>
      <w:pPr>
        <w:spacing w:after="120"/>
      </w:pPr>
      <w:r>
        <w:t xml:space="preserve">Email offers the weakest built-in traceability of the three channels, so it needs additional safeguards to stay auditable and tamper-evident.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Prepare the document package: signed PDF(s), a digital certificate, and a hash summary sheet with a QR code.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Encrypt or password-protect the package. Share the password through a separate channel — SMS or a phone call, never in the same email.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Send via a secure email gateway that enforces TLS and is DKIM/SPF/DMARC signed, to the bank's registered email address.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The bank downloads and decrypts the attachment using the shared password.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The bank manually verifies authenticity — scanning the QR code or entering the hash on our public verification portal.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The bank confirms receipt, either by reply email or through the verification portal.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Our operations team manually reconciles the email-send and verification events into the audit trail — this is the one manual step in an otherwise automated process.</w:t>
      </w:r>
    </w:p>
    <w:p>
      <w:pPr>
        <w:pStyle w:val="Heading1"/>
        <w:spacing w:after="150" w:before="300"/>
      </w:pPr>
      <w:r>
        <w:t xml:space="preserve">Channel Comparison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400"/>
      </w:tblGrid>
      <w:tr>
        <w:trPr>
          <w:tblHeader/>
        </w:trPr>
        <w:tc>
          <w:tcPr>
            <w:tcW w:type="dxa" w:w="2000"/>
            <w:shd w:fill="37415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2400"/>
            <w:shd w:fill="37415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In-App / API
(Bank on platform)</w:t>
            </w:r>
          </w:p>
        </w:tc>
        <w:tc>
          <w:tcPr>
            <w:tcW w:type="dxa" w:w="2400"/>
            <w:shd w:fill="37415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Secure Link
(Bank off-platform)</w:t>
            </w:r>
          </w:p>
        </w:tc>
        <w:tc>
          <w:tcPr>
            <w:tcW w:type="dxa" w:w="2400"/>
            <w:shd w:fill="37415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Email
(Bank off-platform)</w:t>
            </w:r>
          </w:p>
        </w:tc>
      </w:tr>
      <w:tr>
        <w:tc>
          <w:tcPr>
            <w:tcW w:type="dxa" w:w="2000"/>
            <w:shd w:fill="F9FA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Login required?</w:t>
            </w:r>
          </w:p>
        </w:tc>
        <w:tc>
          <w:tcPr>
            <w:tcW w:type="dxa" w:w="2400"/>
            <w:shd w:fill="F9FA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Yes — SSO / bank credentials</w:t>
            </w:r>
          </w:p>
        </w:tc>
        <w:tc>
          <w:tcPr>
            <w:tcW w:type="dxa" w:w="2400"/>
            <w:shd w:fill="F9FA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No — one-time tokenized link</w:t>
            </w:r>
          </w:p>
        </w:tc>
        <w:tc>
          <w:tcPr>
            <w:tcW w:type="dxa" w:w="2400"/>
            <w:shd w:fill="F9FA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No — standard email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Hash verification</w:t>
            </w:r>
          </w:p>
        </w:tc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Automatic, real-time vs. ledger</w:t>
            </w:r>
          </w:p>
        </w:tc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Bank can self-check on public portal</w:t>
            </w:r>
          </w:p>
        </w:tc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Manual — scan QR / enter hash</w:t>
            </w:r>
          </w:p>
        </w:tc>
      </w:tr>
      <w:tr>
        <w:tc>
          <w:tcPr>
            <w:tcW w:type="dxa" w:w="2000"/>
            <w:shd w:fill="F9FA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File transfer</w:t>
            </w:r>
          </w:p>
        </w:tc>
        <w:tc>
          <w:tcPr>
            <w:tcW w:type="dxa" w:w="2400"/>
            <w:shd w:fill="F9FA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None — single source of truth</w:t>
            </w:r>
          </w:p>
        </w:tc>
        <w:tc>
          <w:tcPr>
            <w:tcW w:type="dxa" w:w="2400"/>
            <w:shd w:fill="F9FA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View/download over TLS</w:t>
            </w:r>
          </w:p>
        </w:tc>
        <w:tc>
          <w:tcPr>
            <w:tcW w:type="dxa" w:w="2400"/>
            <w:shd w:fill="F9FA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Encrypted attachment sent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Audit trail</w:t>
            </w:r>
          </w:p>
        </w:tc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Fully automated</w:t>
            </w:r>
          </w:p>
        </w:tc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Automated (access logged)</w:t>
            </w:r>
          </w:p>
        </w:tc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Manual reconciliation by ops</w:t>
            </w:r>
          </w:p>
        </w:tc>
      </w:tr>
      <w:tr>
        <w:tc>
          <w:tcPr>
            <w:tcW w:type="dxa" w:w="2000"/>
            <w:shd w:fill="F9FA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Traceability</w:t>
            </w:r>
          </w:p>
        </w:tc>
        <w:tc>
          <w:tcPr>
            <w:tcW w:type="dxa" w:w="2400"/>
            <w:shd w:fill="F9FA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Highest</w:t>
            </w:r>
          </w:p>
        </w:tc>
        <w:tc>
          <w:tcPr>
            <w:tcW w:type="dxa" w:w="2400"/>
            <w:shd w:fill="F9FA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High</w:t>
            </w:r>
          </w:p>
        </w:tc>
        <w:tc>
          <w:tcPr>
            <w:tcW w:type="dxa" w:w="2400"/>
            <w:shd w:fill="F9FA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Lowest — depends on bank confirming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Recommended when</w:t>
            </w:r>
          </w:p>
        </w:tc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Bank is onboarded</w:t>
            </w:r>
          </w:p>
        </w:tc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Bank not onboarded, needs speed &amp; security</w:t>
            </w:r>
          </w:p>
        </w:tc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Only when bank insists on email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Recommendation</w:t>
      </w:r>
    </w:p>
    <w:p>
      <w:pPr>
        <w:spacing w:after="120"/>
      </w:pPr>
      <w:r>
        <w:rPr>
          <w:color w:val="1F2937"/>
        </w:rPr>
        <w:t xml:space="preserve">Email should be treated as a fallback, not a default. Whenever a bank can be moved to in-app access or, at minimum, a secure link, both channels give automatic, tamper-evident audit trails with far less manual overhead. If email is unavoidable, always pair it with a signed PDF, a hash/QR verification step, and a password shared through a separate channel from the document itself.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2026-08-06T03:36:33.451Z</dcterms:created>
  <dcterms:modified xsi:type="dcterms:W3CDTF">2026-08-06T03:36:33.456Z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