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Calibri" w:cs="Calibri" w:eastAsia="Calibri" w:hAnsi="Calibri"/>
          <w:b/>
          <w:bCs/>
          <w:color w:val="0f172a"/>
          <w:sz w:val="52"/>
          <w:szCs w:val="52"/>
        </w:rPr>
        <w:t xml:space="preserve">AI-Powered Financial Decision System</w:t>
      </w:r>
    </w:p>
    <w:p>
      <w:pPr>
        <w:spacing w:after="600"/>
        <w:jc w:val="center"/>
      </w:pPr>
      <w:r>
        <w:rPr>
          <w:rFonts w:ascii="Calibri" w:cs="Calibri" w:eastAsia="Calibri" w:hAnsi="Calibri"/>
          <w:color w:val="64748b"/>
          <w:sz w:val="28"/>
          <w:szCs w:val="28"/>
        </w:rPr>
        <w:t xml:space="preserve">Final Year Project Report</w:t>
      </w:r>
    </w:p>
    <w:p>
      <w:pPr>
        <w:spacing w:after="200"/>
        <w:jc w:val="center"/>
      </w:pPr>
      <w:r>
        <w:rPr>
          <w:rFonts w:ascii="Calibri" w:cs="Calibri" w:eastAsia="Calibri" w:hAnsi="Calibri"/>
          <w:color w:val="64748b"/>
          <w:sz w:val="22"/>
          <w:szCs w:val="22"/>
        </w:rPr>
        <w:t xml:space="preserve">Submitted by</w:t>
      </w:r>
    </w:p>
    <w:p>
      <w:pPr>
        <w:spacing w:after="80"/>
        <w:jc w:val="center"/>
      </w:pPr>
      <w:r>
        <w:rPr>
          <w:rFonts w:ascii="Calibri" w:cs="Calibri" w:eastAsia="Calibri" w:hAnsi="Calibri"/>
          <w:b/>
          <w:bCs/>
          <w:sz w:val="24"/>
          <w:szCs w:val="24"/>
        </w:rPr>
        <w:t xml:space="preserve">Soniya T</w:t>
      </w:r>
    </w:p>
    <w:p>
      <w:pPr>
        <w:spacing w:after="80"/>
        <w:jc w:val="center"/>
      </w:pPr>
      <w:r>
        <w:rPr>
          <w:rFonts w:ascii="Calibri" w:cs="Calibri" w:eastAsia="Calibri" w:hAnsi="Calibri"/>
          <w:b/>
          <w:bCs/>
          <w:sz w:val="24"/>
          <w:szCs w:val="24"/>
        </w:rPr>
        <w:t xml:space="preserve">Sathurthika Devi S</w:t>
      </w:r>
    </w:p>
    <w:p>
      <w:pPr>
        <w:spacing w:after="80"/>
        <w:jc w:val="center"/>
      </w:pPr>
      <w:r>
        <w:rPr>
          <w:rFonts w:ascii="Calibri" w:cs="Calibri" w:eastAsia="Calibri" w:hAnsi="Calibri"/>
          <w:b/>
          <w:bCs/>
          <w:sz w:val="24"/>
          <w:szCs w:val="24"/>
        </w:rPr>
        <w:t xml:space="preserve">Selvakkumar TK</w:t>
      </w:r>
    </w:p>
    <w:p>
      <w:pPr>
        <w:spacing w:after="80"/>
        <w:jc w:val="center"/>
      </w:pPr>
      <w:r>
        <w:rPr>
          <w:rFonts w:ascii="Calibri" w:cs="Calibri" w:eastAsia="Calibri" w:hAnsi="Calibri"/>
          <w:b/>
          <w:bCs/>
          <w:sz w:val="24"/>
          <w:szCs w:val="24"/>
        </w:rPr>
        <w:t xml:space="preserve">Sri Anbukarasi D</w:t>
      </w:r>
    </w:p>
    <w:p>
      <w:pPr>
        <w:spacing w:after="300"/>
      </w:pPr>
    </w:p>
    <w:p>
      <w:pPr>
        <w:spacing w:after="80"/>
        <w:jc w:val="center"/>
      </w:pPr>
      <w:r>
        <w:rPr>
          <w:rFonts w:ascii="Calibri" w:cs="Calibri" w:eastAsia="Calibri" w:hAnsi="Calibri"/>
          <w:color w:val="64748b"/>
          <w:sz w:val="22"/>
          <w:szCs w:val="22"/>
        </w:rPr>
        <w:t xml:space="preserve">B.Sc Artificial Intelligence &amp; Data Science</w:t>
      </w:r>
    </w:p>
    <w:p>
      <w:pPr>
        <w:spacing w:after="80"/>
        <w:jc w:val="center"/>
      </w:pPr>
      <w:r>
        <w:rPr>
          <w:rFonts w:ascii="Calibri" w:cs="Calibri" w:eastAsia="Calibri" w:hAnsi="Calibri"/>
          <w:color w:val="64748b"/>
          <w:sz w:val="22"/>
          <w:szCs w:val="22"/>
        </w:rPr>
        <w:t xml:space="preserve">KPR College of Arts, Science and Research</w:t>
      </w:r>
    </w:p>
    <w:p>
      <w:pPr>
        <w:spacing w:after="600"/>
        <w:jc w:val="center"/>
      </w:pPr>
      <w:r>
        <w:rPr>
          <w:rFonts w:ascii="Calibri" w:cs="Calibri" w:eastAsia="Calibri" w:hAnsi="Calibri"/>
          <w:color w:val="64748b"/>
          <w:sz w:val="22"/>
          <w:szCs w:val="22"/>
        </w:rPr>
        <w:t xml:space="preserve">2024–2025</w:t>
      </w:r>
    </w:p>
    <w:p>
      <w:r>
        <w:br w:type="page"/>
      </w:r>
    </w:p>
    <w:p>
      <w:pPr>
        <w:pStyle w:val="Heading1"/>
        <w:pBdr>
          <w:bottom w:val="single" w:color="0ea5e9" w:sz="12" w:space="4"/>
        </w:pBdr>
        <w:spacing w:after="200" w:before="360"/>
      </w:pPr>
      <w:r>
        <w:t xml:space="preserve">Abstract</w:t>
      </w:r>
    </w:p>
    <w:p>
      <w:pPr>
        <w:spacing w:after="160"/>
        <w:jc w:val="both"/>
      </w:pPr>
      <w:r>
        <w:rPr>
          <w:rFonts w:ascii="Calibri" w:cs="Calibri" w:eastAsia="Calibri" w:hAnsi="Calibri"/>
          <w:sz w:val="22"/>
          <w:szCs w:val="22"/>
        </w:rPr>
        <w:t xml:space="preserve">This project presents a comprehensive AI-powered financial decision system that integrates machine learning algorithms for credit scoring, loan approval prediction, and real-time fraud detection. The system implements a Random Forest classifier for loan approval and a Gradient Boosting classifier for fraud detection, achieving AUC scores of 0.932 and 0.998 respectively on held-out test sets.</w:t>
      </w:r>
    </w:p>
    <w:p>
      <w:pPr>
        <w:spacing w:after="160"/>
        <w:jc w:val="both"/>
      </w:pPr>
      <w:r>
        <w:rPr>
          <w:rFonts w:ascii="Calibri" w:cs="Calibri" w:eastAsia="Calibri" w:hAnsi="Calibri"/>
          <w:sz w:val="22"/>
          <w:szCs w:val="22"/>
        </w:rPr>
        <w:t xml:space="preserve">The application features a Streamlit-based web interface with secure role-based login, CSV bulk upload with automatic data cleaning, interactive performance dashboards, individual customer risk analysis, and downloadable prediction results. Pre-trained models are saved as serialized .pkl files for instant deployment without retraining.</w:t>
      </w:r>
    </w:p>
    <w:p>
      <w:pPr>
        <w:spacing w:after="160"/>
        <w:jc w:val="both"/>
      </w:pPr>
      <w:r>
        <w:rPr>
          <w:rFonts w:ascii="Calibri" w:cs="Calibri" w:eastAsia="Calibri" w:hAnsi="Calibri"/>
          <w:sz w:val="22"/>
          <w:szCs w:val="22"/>
        </w:rPr>
        <w:t xml:space="preserve">The system directly implements the financial AI use cases described in "Artificial Intelligence and Machine Learning in Financial Decision Systems" (Soniya T et al., 2024), translating theoretical frameworks into a fully functional, deployable software application.</w:t>
      </w:r>
    </w:p>
    <w:p>
      <w:pPr>
        <w:spacing w:after="200"/>
      </w:pPr>
      <w:r>
        <w:rPr>
          <w:rFonts w:ascii="Calibri" w:cs="Calibri" w:eastAsia="Calibri" w:hAnsi="Calibri"/>
          <w:b/>
          <w:bCs/>
          <w:sz w:val="22"/>
          <w:szCs w:val="22"/>
        </w:rPr>
        <w:t xml:space="preserve">Keywords: </w:t>
      </w:r>
      <w:r>
        <w:rPr>
          <w:rFonts w:ascii="Calibri" w:cs="Calibri" w:eastAsia="Calibri" w:hAnsi="Calibri"/>
          <w:sz w:val="22"/>
          <w:szCs w:val="22"/>
        </w:rPr>
        <w:t xml:space="preserve">Machine Learning, Random Forest, Gradient Boosting, Credit Scoring, Fraud Detection, Streamlit, Financial AI, FinTech</w:t>
      </w:r>
    </w:p>
    <w:p>
      <w:r>
        <w:br w:type="page"/>
      </w:r>
    </w:p>
    <w:p>
      <w:pPr>
        <w:pStyle w:val="Heading1"/>
        <w:pBdr>
          <w:bottom w:val="single" w:color="0ea5e9" w:sz="12" w:space="4"/>
        </w:pBdr>
        <w:spacing w:after="200" w:before="360"/>
      </w:pPr>
      <w:r>
        <w:t xml:space="preserve">Table of Contents</w:t>
      </w:r>
    </w:p>
    <w:p>
      <w:pPr>
        <w:spacing w:after="80"/>
      </w:pPr>
      <w:r>
        <w:rPr>
          <w:rFonts w:ascii="Calibri" w:cs="Calibri" w:eastAsia="Calibri" w:hAnsi="Calibri"/>
          <w:sz w:val="22"/>
          <w:szCs w:val="22"/>
        </w:rPr>
        <w:t xml:space="preserve">1. Introduction</w:t>
      </w:r>
    </w:p>
    <w:p>
      <w:pPr>
        <w:spacing w:after="80"/>
      </w:pPr>
      <w:r>
        <w:rPr>
          <w:rFonts w:ascii="Calibri" w:cs="Calibri" w:eastAsia="Calibri" w:hAnsi="Calibri"/>
          <w:sz w:val="22"/>
          <w:szCs w:val="22"/>
        </w:rPr>
        <w:t xml:space="preserve">2. Literature Review</w:t>
      </w:r>
    </w:p>
    <w:p>
      <w:pPr>
        <w:spacing w:after="80"/>
      </w:pPr>
      <w:r>
        <w:rPr>
          <w:rFonts w:ascii="Calibri" w:cs="Calibri" w:eastAsia="Calibri" w:hAnsi="Calibri"/>
          <w:sz w:val="22"/>
          <w:szCs w:val="22"/>
        </w:rPr>
        <w:t xml:space="preserve">3. System Design &amp; Architecture</w:t>
      </w:r>
    </w:p>
    <w:p>
      <w:pPr>
        <w:spacing w:after="80"/>
      </w:pPr>
      <w:r>
        <w:rPr>
          <w:rFonts w:ascii="Calibri" w:cs="Calibri" w:eastAsia="Calibri" w:hAnsi="Calibri"/>
          <w:sz w:val="22"/>
          <w:szCs w:val="22"/>
        </w:rPr>
        <w:t xml:space="preserve">4. Dataset Description</w:t>
      </w:r>
    </w:p>
    <w:p>
      <w:pPr>
        <w:spacing w:after="80"/>
      </w:pPr>
      <w:r>
        <w:rPr>
          <w:rFonts w:ascii="Calibri" w:cs="Calibri" w:eastAsia="Calibri" w:hAnsi="Calibri"/>
          <w:sz w:val="22"/>
          <w:szCs w:val="22"/>
        </w:rPr>
        <w:t xml:space="preserve">5. Machine Learning Models</w:t>
      </w:r>
    </w:p>
    <w:p>
      <w:pPr>
        <w:spacing w:after="80"/>
      </w:pPr>
      <w:r>
        <w:rPr>
          <w:rFonts w:ascii="Calibri" w:cs="Calibri" w:eastAsia="Calibri" w:hAnsi="Calibri"/>
          <w:sz w:val="22"/>
          <w:szCs w:val="22"/>
        </w:rPr>
        <w:t xml:space="preserve">6. Implementation</w:t>
      </w:r>
    </w:p>
    <w:p>
      <w:pPr>
        <w:spacing w:after="80"/>
      </w:pPr>
      <w:r>
        <w:rPr>
          <w:rFonts w:ascii="Calibri" w:cs="Calibri" w:eastAsia="Calibri" w:hAnsi="Calibri"/>
          <w:sz w:val="22"/>
          <w:szCs w:val="22"/>
        </w:rPr>
        <w:t xml:space="preserve">7. Results &amp; Evaluation</w:t>
      </w:r>
    </w:p>
    <w:p>
      <w:pPr>
        <w:spacing w:after="80"/>
      </w:pPr>
      <w:r>
        <w:rPr>
          <w:rFonts w:ascii="Calibri" w:cs="Calibri" w:eastAsia="Calibri" w:hAnsi="Calibri"/>
          <w:sz w:val="22"/>
          <w:szCs w:val="22"/>
        </w:rPr>
        <w:t xml:space="preserve">8. Web Application Features</w:t>
      </w:r>
    </w:p>
    <w:p>
      <w:pPr>
        <w:spacing w:after="80"/>
      </w:pPr>
      <w:r>
        <w:rPr>
          <w:rFonts w:ascii="Calibri" w:cs="Calibri" w:eastAsia="Calibri" w:hAnsi="Calibri"/>
          <w:sz w:val="22"/>
          <w:szCs w:val="22"/>
        </w:rPr>
        <w:t xml:space="preserve">9. Case Studies</w:t>
      </w:r>
    </w:p>
    <w:p>
      <w:pPr>
        <w:spacing w:after="80"/>
      </w:pPr>
      <w:r>
        <w:rPr>
          <w:rFonts w:ascii="Calibri" w:cs="Calibri" w:eastAsia="Calibri" w:hAnsi="Calibri"/>
          <w:sz w:val="22"/>
          <w:szCs w:val="22"/>
        </w:rPr>
        <w:t xml:space="preserve">10. Challenges &amp; Ethical Considerations</w:t>
      </w:r>
    </w:p>
    <w:p>
      <w:pPr>
        <w:spacing w:after="80"/>
      </w:pPr>
      <w:r>
        <w:rPr>
          <w:rFonts w:ascii="Calibri" w:cs="Calibri" w:eastAsia="Calibri" w:hAnsi="Calibri"/>
          <w:sz w:val="22"/>
          <w:szCs w:val="22"/>
        </w:rPr>
        <w:t xml:space="preserve">11. Future Directions</w:t>
      </w:r>
    </w:p>
    <w:p>
      <w:pPr>
        <w:spacing w:after="80"/>
      </w:pPr>
      <w:r>
        <w:rPr>
          <w:rFonts w:ascii="Calibri" w:cs="Calibri" w:eastAsia="Calibri" w:hAnsi="Calibri"/>
          <w:sz w:val="22"/>
          <w:szCs w:val="22"/>
        </w:rPr>
        <w:t xml:space="preserve">12. Conclusion</w:t>
      </w:r>
    </w:p>
    <w:p>
      <w:pPr>
        <w:spacing w:after="80"/>
      </w:pPr>
      <w:r>
        <w:rPr>
          <w:rFonts w:ascii="Calibri" w:cs="Calibri" w:eastAsia="Calibri" w:hAnsi="Calibri"/>
          <w:sz w:val="22"/>
          <w:szCs w:val="22"/>
        </w:rPr>
        <w:t xml:space="preserve">References</w:t>
      </w:r>
    </w:p>
    <w:p>
      <w:pPr>
        <w:spacing w:after="80"/>
      </w:pPr>
      <w:r>
        <w:rPr>
          <w:rFonts w:ascii="Calibri" w:cs="Calibri" w:eastAsia="Calibri" w:hAnsi="Calibri"/>
          <w:sz w:val="22"/>
          <w:szCs w:val="22"/>
        </w:rPr>
        <w:t xml:space="preserve">Appendix A: Viva Questions &amp; Answers</w:t>
      </w:r>
    </w:p>
    <w:p>
      <w:r>
        <w:br w:type="page"/>
      </w:r>
    </w:p>
    <w:p>
      <w:pPr>
        <w:pStyle w:val="Heading1"/>
        <w:pBdr>
          <w:bottom w:val="single" w:color="0ea5e9" w:sz="12" w:space="4"/>
        </w:pBdr>
        <w:spacing w:after="200" w:before="360"/>
      </w:pPr>
      <w:r>
        <w:t xml:space="preserve">1. Introduction</w:t>
      </w:r>
    </w:p>
    <w:p>
      <w:pPr>
        <w:spacing w:after="160"/>
        <w:jc w:val="both"/>
      </w:pPr>
      <w:r>
        <w:rPr>
          <w:rFonts w:ascii="Calibri" w:cs="Calibri" w:eastAsia="Calibri" w:hAnsi="Calibri"/>
          <w:sz w:val="22"/>
          <w:szCs w:val="22"/>
        </w:rPr>
        <w:t xml:space="preserve">The financial services industry is undergoing a profound transformation driven by the convergence of big data, cloud computing, and artificial intelligence. Traditional credit scoring models, which relied on a limited set of financial variables and manual review processes, are being rapidly superseded by machine learning systems capable of processing thousands of variables and making decisions in real time.</w:t>
      </w:r>
    </w:p>
    <w:p>
      <w:pPr>
        <w:spacing w:after="160"/>
        <w:jc w:val="both"/>
      </w:pPr>
      <w:r>
        <w:rPr>
          <w:rFonts w:ascii="Calibri" w:cs="Calibri" w:eastAsia="Calibri" w:hAnsi="Calibri"/>
          <w:sz w:val="22"/>
          <w:szCs w:val="22"/>
        </w:rPr>
        <w:t xml:space="preserve">This project addresses two of the most critical challenges in modern finance: credit risk assessment and transaction fraud detection. By training and deploying machine learning models on synthetic but realistic financial datasets, we demonstrate how AI can dramatically improve both the accuracy and efficiency of financial decision-making.</w:t>
      </w:r>
    </w:p>
    <w:p>
      <w:pPr>
        <w:pStyle w:val="Heading2"/>
        <w:spacing w:after="140" w:before="280"/>
      </w:pPr>
      <w:r>
        <w:t xml:space="preserve">1.1 Project Objectives</w:t>
      </w:r>
    </w:p>
    <w:p>
      <w:pPr>
        <w:pStyle w:val="ListParagraph"/>
        <w:numPr>
          <w:ilvl w:val="0"/>
          <w:numId w:val="1"/>
        </w:numPr>
        <w:spacing w:after="80"/>
      </w:pPr>
      <w:r>
        <w:rPr>
          <w:rFonts w:ascii="Calibri" w:cs="Calibri" w:eastAsia="Calibri" w:hAnsi="Calibri"/>
          <w:sz w:val="22"/>
          <w:szCs w:val="22"/>
        </w:rPr>
        <w:t xml:space="preserve">Develop and train a Random Forest model for loan approval prediction with accuracy exceeding 85%</w:t>
      </w:r>
    </w:p>
    <w:p>
      <w:pPr>
        <w:pStyle w:val="ListParagraph"/>
        <w:numPr>
          <w:ilvl w:val="0"/>
          <w:numId w:val="1"/>
        </w:numPr>
        <w:spacing w:after="80"/>
      </w:pPr>
      <w:r>
        <w:rPr>
          <w:rFonts w:ascii="Calibri" w:cs="Calibri" w:eastAsia="Calibri" w:hAnsi="Calibri"/>
          <w:sz w:val="22"/>
          <w:szCs w:val="22"/>
        </w:rPr>
        <w:t xml:space="preserve">Develop and train a Gradient Boosting model for fraud detection with AUC exceeding 0.90</w:t>
      </w:r>
    </w:p>
    <w:p>
      <w:pPr>
        <w:pStyle w:val="ListParagraph"/>
        <w:numPr>
          <w:ilvl w:val="0"/>
          <w:numId w:val="1"/>
        </w:numPr>
        <w:spacing w:after="80"/>
      </w:pPr>
      <w:r>
        <w:rPr>
          <w:rFonts w:ascii="Calibri" w:cs="Calibri" w:eastAsia="Calibri" w:hAnsi="Calibri"/>
          <w:sz w:val="22"/>
          <w:szCs w:val="22"/>
        </w:rPr>
        <w:t xml:space="preserve">Build a professional Streamlit web application with login, bulk CSV processing, and downloadable results</w:t>
      </w:r>
    </w:p>
    <w:p>
      <w:pPr>
        <w:pStyle w:val="ListParagraph"/>
        <w:numPr>
          <w:ilvl w:val="0"/>
          <w:numId w:val="1"/>
        </w:numPr>
        <w:spacing w:after="80"/>
      </w:pPr>
      <w:r>
        <w:rPr>
          <w:rFonts w:ascii="Calibri" w:cs="Calibri" w:eastAsia="Calibri" w:hAnsi="Calibri"/>
          <w:sz w:val="22"/>
          <w:szCs w:val="22"/>
        </w:rPr>
        <w:t xml:space="preserve">Provide explainable AI recommendations for each prediction to support human oversight</w:t>
      </w:r>
    </w:p>
    <w:p>
      <w:pPr>
        <w:pStyle w:val="ListParagraph"/>
        <w:numPr>
          <w:ilvl w:val="0"/>
          <w:numId w:val="1"/>
        </w:numPr>
        <w:spacing w:after="80"/>
      </w:pPr>
      <w:r>
        <w:rPr>
          <w:rFonts w:ascii="Calibri" w:cs="Calibri" w:eastAsia="Calibri" w:hAnsi="Calibri"/>
          <w:sz w:val="22"/>
          <w:szCs w:val="22"/>
        </w:rPr>
        <w:t xml:space="preserve">Package the complete system for immediate academic presentation and deployment</w:t>
      </w:r>
    </w:p>
    <w:p>
      <w:pPr>
        <w:pStyle w:val="Heading2"/>
        <w:spacing w:after="140" w:before="280"/>
      </w:pPr>
      <w:r>
        <w:t xml:space="preserve">1.2 Scope and Significance</w:t>
      </w:r>
    </w:p>
    <w:p>
      <w:pPr>
        <w:spacing w:after="160"/>
        <w:jc w:val="both"/>
      </w:pPr>
      <w:r>
        <w:rPr>
          <w:rFonts w:ascii="Calibri" w:cs="Calibri" w:eastAsia="Calibri" w:hAnsi="Calibri"/>
          <w:sz w:val="22"/>
          <w:szCs w:val="22"/>
        </w:rPr>
        <w:t xml:space="preserve">Financial institutions process millions of loan applications and billions of transactions annually. The cost of incorrect decisions — whether approving high-risk loans or failing to detect fraudulent transactions — runs into trillions of dollars globally. This project demonstrates how machine learning can substantially reduce these costs while simultaneously improving fairness and financial inclusion.</w:t>
      </w:r>
    </w:p>
    <w:p>
      <w:r>
        <w:br w:type="page"/>
      </w:r>
    </w:p>
    <w:p>
      <w:pPr>
        <w:pStyle w:val="Heading1"/>
        <w:pBdr>
          <w:bottom w:val="single" w:color="0ea5e9" w:sz="12" w:space="4"/>
        </w:pBdr>
        <w:spacing w:after="200" w:before="360"/>
      </w:pPr>
      <w:r>
        <w:t xml:space="preserve">2. Literature Review</w:t>
      </w:r>
    </w:p>
    <w:p>
      <w:pPr>
        <w:spacing w:after="160"/>
        <w:jc w:val="both"/>
      </w:pPr>
      <w:r>
        <w:rPr>
          <w:rFonts w:ascii="Calibri" w:cs="Calibri" w:eastAsia="Calibri" w:hAnsi="Calibri"/>
          <w:sz w:val="22"/>
          <w:szCs w:val="22"/>
        </w:rPr>
        <w:t xml:space="preserve">The application of machine learning in financial decision systems has been the subject of extensive academic research over the past two decades.</w:t>
      </w:r>
    </w:p>
    <w:p>
      <w:pPr>
        <w:pStyle w:val="Heading2"/>
        <w:spacing w:after="140" w:before="280"/>
      </w:pPr>
      <w:r>
        <w:t xml:space="preserve">2.1 Credit Scoring Evolution</w:t>
      </w:r>
    </w:p>
    <w:p>
      <w:pPr>
        <w:spacing w:after="160"/>
        <w:jc w:val="both"/>
      </w:pPr>
      <w:r>
        <w:rPr>
          <w:rFonts w:ascii="Calibri" w:cs="Calibri" w:eastAsia="Calibri" w:hAnsi="Calibri"/>
          <w:sz w:val="22"/>
          <w:szCs w:val="22"/>
        </w:rPr>
        <w:t xml:space="preserve">The foundation of quantitative credit risk assessment was laid by Altman (1968) with his Z-score model, which used discriminant analysis on five financial ratios to predict corporate bankruptcy. While revolutionary for its time, this approach was limited by the small number of variables it could consider.</w:t>
      </w:r>
    </w:p>
    <w:p>
      <w:pPr>
        <w:spacing w:after="160"/>
        <w:jc w:val="both"/>
      </w:pPr>
      <w:r>
        <w:rPr>
          <w:rFonts w:ascii="Calibri" w:cs="Calibri" w:eastAsia="Calibri" w:hAnsi="Calibri"/>
          <w:sz w:val="22"/>
          <w:szCs w:val="22"/>
        </w:rPr>
        <w:t xml:space="preserve">Chen and Guestrin (2016) demonstrated that gradient boosting methods, particularly XGBoost, consistently outperform traditional logistic regression and decision tree models on credit default prediction tasks. Their work showed improvements of 5-15% in AUC across multiple benchmark datasets.</w:t>
      </w:r>
    </w:p>
    <w:p>
      <w:pPr>
        <w:pStyle w:val="Heading2"/>
        <w:spacing w:after="140" w:before="280"/>
      </w:pPr>
      <w:r>
        <w:t xml:space="preserve">2.2 Fraud Detection</w:t>
      </w:r>
    </w:p>
    <w:p>
      <w:pPr>
        <w:spacing w:after="160"/>
        <w:jc w:val="both"/>
      </w:pPr>
      <w:r>
        <w:rPr>
          <w:rFonts w:ascii="Calibri" w:cs="Calibri" w:eastAsia="Calibri" w:hAnsi="Calibri"/>
          <w:sz w:val="22"/>
          <w:szCs w:val="22"/>
        </w:rPr>
        <w:t xml:space="preserve">Machine learning approaches to fraud detection have evolved from simple rule-based systems to sophisticated deep learning architectures. Graph neural networks (GNNs) have shown particular promise in detecting coordinated fraud rings, achieving detection rates exceeding 95% with significantly reduced false positive rates compared to rule-based alternatives.</w:t>
      </w:r>
    </w:p>
    <w:p>
      <w:pPr>
        <w:pStyle w:val="Heading2"/>
        <w:spacing w:after="140" w:before="280"/>
      </w:pPr>
      <w:r>
        <w:t xml:space="preserve">2.3 Explainability</w:t>
      </w:r>
    </w:p>
    <w:p>
      <w:pPr>
        <w:spacing w:after="160"/>
        <w:jc w:val="both"/>
      </w:pPr>
      <w:r>
        <w:rPr>
          <w:rFonts w:ascii="Calibri" w:cs="Calibri" w:eastAsia="Calibri" w:hAnsi="Calibri"/>
          <w:sz w:val="22"/>
          <w:szCs w:val="22"/>
        </w:rPr>
        <w:t xml:space="preserve">Lundberg and Lee (2017) introduced SHAP (SHapley Additive exPlanations) values, providing a unified framework for explaining any machine learning model's predictions. This work has become central to regulatory compliance in AI-driven finance, as it allows practitioners to identify exactly which factors drove each individual decision.</w:t>
      </w:r>
    </w:p>
    <w:p>
      <w:r>
        <w:br w:type="page"/>
      </w:r>
    </w:p>
    <w:p>
      <w:pPr>
        <w:pStyle w:val="Heading1"/>
        <w:pBdr>
          <w:bottom w:val="single" w:color="0ea5e9" w:sz="12" w:space="4"/>
        </w:pBdr>
        <w:spacing w:after="200" w:before="360"/>
      </w:pPr>
      <w:r>
        <w:t xml:space="preserve">3. System Design &amp; Architecture</w:t>
      </w:r>
    </w:p>
    <w:p>
      <w:pPr>
        <w:spacing w:after="160"/>
        <w:jc w:val="both"/>
      </w:pPr>
      <w:r>
        <w:rPr>
          <w:rFonts w:ascii="Calibri" w:cs="Calibri" w:eastAsia="Calibri" w:hAnsi="Calibri"/>
          <w:sz w:val="22"/>
          <w:szCs w:val="22"/>
        </w:rPr>
        <w:t xml:space="preserve">The system follows a modular, layered architecture designed for both academic demonstration and real-world scalability.</w:t>
      </w:r>
    </w:p>
    <w:p>
      <w:pPr>
        <w:pStyle w:val="Heading2"/>
        <w:spacing w:after="140" w:before="280"/>
      </w:pPr>
      <w:r>
        <w:t xml:space="preserve">3.1 Component Overview</w:t>
      </w:r>
    </w:p>
    <w:tbl>
      <w:tblPr>
        <w:tblW w:type="dxa" w:w="907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tblGrid>
      <w:tr>
        <w:tc>
          <w:tcPr>
            <w:tcW w:type="dxa" w:w="3024"/>
            <w:shd w:fill="1e293b" w:val="clear"/>
          </w:tcPr>
          <w:p>
            <w:pPr>
              <w:spacing w:after="0"/>
            </w:pPr>
            <w:r>
              <w:rPr>
                <w:rFonts w:ascii="Calibri" w:cs="Calibri" w:eastAsia="Calibri" w:hAnsi="Calibri"/>
                <w:b/>
                <w:bCs/>
                <w:color w:val="FFFFFF"/>
                <w:sz w:val="20"/>
                <w:szCs w:val="20"/>
              </w:rPr>
              <w:t xml:space="preserve">Component</w:t>
            </w:r>
          </w:p>
        </w:tc>
        <w:tc>
          <w:tcPr>
            <w:tcW w:type="dxa" w:w="3024"/>
            <w:shd w:fill="1e293b" w:val="clear"/>
          </w:tcPr>
          <w:p>
            <w:pPr>
              <w:spacing w:after="0"/>
            </w:pPr>
            <w:r>
              <w:rPr>
                <w:rFonts w:ascii="Calibri" w:cs="Calibri" w:eastAsia="Calibri" w:hAnsi="Calibri"/>
                <w:b/>
                <w:bCs/>
                <w:color w:val="FFFFFF"/>
                <w:sz w:val="20"/>
                <w:szCs w:val="20"/>
              </w:rPr>
              <w:t xml:space="preserve">Technology</w:t>
            </w:r>
          </w:p>
        </w:tc>
        <w:tc>
          <w:tcPr>
            <w:tcW w:type="dxa" w:w="3024"/>
            <w:shd w:fill="1e293b" w:val="clear"/>
          </w:tcPr>
          <w:p>
            <w:pPr>
              <w:spacing w:after="0"/>
            </w:pPr>
            <w:r>
              <w:rPr>
                <w:rFonts w:ascii="Calibri" w:cs="Calibri" w:eastAsia="Calibri" w:hAnsi="Calibri"/>
                <w:b/>
                <w:bCs/>
                <w:color w:val="FFFFFF"/>
                <w:sz w:val="20"/>
                <w:szCs w:val="20"/>
              </w:rPr>
              <w:t xml:space="preserve">Purpose</w:t>
            </w:r>
          </w:p>
        </w:tc>
      </w:tr>
      <w:tr>
        <w:tc>
          <w:tcPr>
            <w:tcW w:type="dxa" w:w="3024"/>
          </w:tcPr>
          <w:p>
            <w:pPr>
              <w:spacing w:after="0"/>
            </w:pPr>
            <w:r>
              <w:rPr>
                <w:rFonts w:ascii="Calibri" w:cs="Calibri" w:eastAsia="Calibri" w:hAnsi="Calibri"/>
                <w:sz w:val="19"/>
                <w:szCs w:val="19"/>
              </w:rPr>
              <w:t xml:space="preserve">Data Layer</w:t>
            </w:r>
          </w:p>
        </w:tc>
        <w:tc>
          <w:tcPr>
            <w:tcW w:type="dxa" w:w="3024"/>
          </w:tcPr>
          <w:p>
            <w:pPr>
              <w:spacing w:after="0"/>
            </w:pPr>
            <w:r>
              <w:rPr>
                <w:rFonts w:ascii="Calibri" w:cs="Calibri" w:eastAsia="Calibri" w:hAnsi="Calibri"/>
                <w:sz w:val="19"/>
                <w:szCs w:val="19"/>
              </w:rPr>
              <w:t xml:space="preserve">Pandas, NumPy</w:t>
            </w:r>
          </w:p>
        </w:tc>
        <w:tc>
          <w:tcPr>
            <w:tcW w:type="dxa" w:w="3024"/>
          </w:tcPr>
          <w:p>
            <w:pPr>
              <w:spacing w:after="0"/>
            </w:pPr>
            <w:r>
              <w:rPr>
                <w:rFonts w:ascii="Calibri" w:cs="Calibri" w:eastAsia="Calibri" w:hAnsi="Calibri"/>
                <w:sz w:val="19"/>
                <w:szCs w:val="19"/>
              </w:rPr>
              <w:t xml:space="preserve">Data loading, cleaning, and transformation</w:t>
            </w:r>
          </w:p>
        </w:tc>
      </w:tr>
      <w:tr>
        <w:tc>
          <w:tcPr>
            <w:tcW w:type="dxa" w:w="3024"/>
            <w:shd w:fill="F8FAFC" w:val="clear"/>
          </w:tcPr>
          <w:p>
            <w:pPr>
              <w:spacing w:after="0"/>
            </w:pPr>
            <w:r>
              <w:rPr>
                <w:rFonts w:ascii="Calibri" w:cs="Calibri" w:eastAsia="Calibri" w:hAnsi="Calibri"/>
                <w:sz w:val="19"/>
                <w:szCs w:val="19"/>
              </w:rPr>
              <w:t xml:space="preserve">ML Layer</w:t>
            </w:r>
          </w:p>
        </w:tc>
        <w:tc>
          <w:tcPr>
            <w:tcW w:type="dxa" w:w="3024"/>
            <w:shd w:fill="F8FAFC" w:val="clear"/>
          </w:tcPr>
          <w:p>
            <w:pPr>
              <w:spacing w:after="0"/>
            </w:pPr>
            <w:r>
              <w:rPr>
                <w:rFonts w:ascii="Calibri" w:cs="Calibri" w:eastAsia="Calibri" w:hAnsi="Calibri"/>
                <w:sz w:val="19"/>
                <w:szCs w:val="19"/>
              </w:rPr>
              <w:t xml:space="preserve">scikit-learn</w:t>
            </w:r>
          </w:p>
        </w:tc>
        <w:tc>
          <w:tcPr>
            <w:tcW w:type="dxa" w:w="3024"/>
            <w:shd w:fill="F8FAFC" w:val="clear"/>
          </w:tcPr>
          <w:p>
            <w:pPr>
              <w:spacing w:after="0"/>
            </w:pPr>
            <w:r>
              <w:rPr>
                <w:rFonts w:ascii="Calibri" w:cs="Calibri" w:eastAsia="Calibri" w:hAnsi="Calibri"/>
                <w:sz w:val="19"/>
                <w:szCs w:val="19"/>
              </w:rPr>
              <w:t xml:space="preserve">Model training, evaluation, and persistence</w:t>
            </w:r>
          </w:p>
        </w:tc>
      </w:tr>
      <w:tr>
        <w:tc>
          <w:tcPr>
            <w:tcW w:type="dxa" w:w="3024"/>
          </w:tcPr>
          <w:p>
            <w:pPr>
              <w:spacing w:after="0"/>
            </w:pPr>
            <w:r>
              <w:rPr>
                <w:rFonts w:ascii="Calibri" w:cs="Calibri" w:eastAsia="Calibri" w:hAnsi="Calibri"/>
                <w:sz w:val="19"/>
                <w:szCs w:val="19"/>
              </w:rPr>
              <w:t xml:space="preserve">Serialization</w:t>
            </w:r>
          </w:p>
        </w:tc>
        <w:tc>
          <w:tcPr>
            <w:tcW w:type="dxa" w:w="3024"/>
          </w:tcPr>
          <w:p>
            <w:pPr>
              <w:spacing w:after="0"/>
            </w:pPr>
            <w:r>
              <w:rPr>
                <w:rFonts w:ascii="Calibri" w:cs="Calibri" w:eastAsia="Calibri" w:hAnsi="Calibri"/>
                <w:sz w:val="19"/>
                <w:szCs w:val="19"/>
              </w:rPr>
              <w:t xml:space="preserve">joblib</w:t>
            </w:r>
          </w:p>
        </w:tc>
        <w:tc>
          <w:tcPr>
            <w:tcW w:type="dxa" w:w="3024"/>
          </w:tcPr>
          <w:p>
            <w:pPr>
              <w:spacing w:after="0"/>
            </w:pPr>
            <w:r>
              <w:rPr>
                <w:rFonts w:ascii="Calibri" w:cs="Calibri" w:eastAsia="Calibri" w:hAnsi="Calibri"/>
                <w:sz w:val="19"/>
                <w:szCs w:val="19"/>
              </w:rPr>
              <w:t xml:space="preserve">Save/load trained .pkl model files</w:t>
            </w:r>
          </w:p>
        </w:tc>
      </w:tr>
      <w:tr>
        <w:tc>
          <w:tcPr>
            <w:tcW w:type="dxa" w:w="3024"/>
            <w:shd w:fill="F8FAFC" w:val="clear"/>
          </w:tcPr>
          <w:p>
            <w:pPr>
              <w:spacing w:after="0"/>
            </w:pPr>
            <w:r>
              <w:rPr>
                <w:rFonts w:ascii="Calibri" w:cs="Calibri" w:eastAsia="Calibri" w:hAnsi="Calibri"/>
                <w:sz w:val="19"/>
                <w:szCs w:val="19"/>
              </w:rPr>
              <w:t xml:space="preserve">Visualization</w:t>
            </w:r>
          </w:p>
        </w:tc>
        <w:tc>
          <w:tcPr>
            <w:tcW w:type="dxa" w:w="3024"/>
            <w:shd w:fill="F8FAFC" w:val="clear"/>
          </w:tcPr>
          <w:p>
            <w:pPr>
              <w:spacing w:after="0"/>
            </w:pPr>
            <w:r>
              <w:rPr>
                <w:rFonts w:ascii="Calibri" w:cs="Calibri" w:eastAsia="Calibri" w:hAnsi="Calibri"/>
                <w:sz w:val="19"/>
                <w:szCs w:val="19"/>
              </w:rPr>
              <w:t xml:space="preserve">Matplotlib, Seaborn</w:t>
            </w:r>
          </w:p>
        </w:tc>
        <w:tc>
          <w:tcPr>
            <w:tcW w:type="dxa" w:w="3024"/>
            <w:shd w:fill="F8FAFC" w:val="clear"/>
          </w:tcPr>
          <w:p>
            <w:pPr>
              <w:spacing w:after="0"/>
            </w:pPr>
            <w:r>
              <w:rPr>
                <w:rFonts w:ascii="Calibri" w:cs="Calibri" w:eastAsia="Calibri" w:hAnsi="Calibri"/>
                <w:sz w:val="19"/>
                <w:szCs w:val="19"/>
              </w:rPr>
              <w:t xml:space="preserve">Charts: confusion matrix, ROC, feature importance</w:t>
            </w:r>
          </w:p>
        </w:tc>
      </w:tr>
      <w:tr>
        <w:tc>
          <w:tcPr>
            <w:tcW w:type="dxa" w:w="3024"/>
          </w:tcPr>
          <w:p>
            <w:pPr>
              <w:spacing w:after="0"/>
            </w:pPr>
            <w:r>
              <w:rPr>
                <w:rFonts w:ascii="Calibri" w:cs="Calibri" w:eastAsia="Calibri" w:hAnsi="Calibri"/>
                <w:sz w:val="19"/>
                <w:szCs w:val="19"/>
              </w:rPr>
              <w:t xml:space="preserve">Web UI</w:t>
            </w:r>
          </w:p>
        </w:tc>
        <w:tc>
          <w:tcPr>
            <w:tcW w:type="dxa" w:w="3024"/>
          </w:tcPr>
          <w:p>
            <w:pPr>
              <w:spacing w:after="0"/>
            </w:pPr>
            <w:r>
              <w:rPr>
                <w:rFonts w:ascii="Calibri" w:cs="Calibri" w:eastAsia="Calibri" w:hAnsi="Calibri"/>
                <w:sz w:val="19"/>
                <w:szCs w:val="19"/>
              </w:rPr>
              <w:t xml:space="preserve">Streamlit</w:t>
            </w:r>
          </w:p>
        </w:tc>
        <w:tc>
          <w:tcPr>
            <w:tcW w:type="dxa" w:w="3024"/>
          </w:tcPr>
          <w:p>
            <w:pPr>
              <w:spacing w:after="0"/>
            </w:pPr>
            <w:r>
              <w:rPr>
                <w:rFonts w:ascii="Calibri" w:cs="Calibri" w:eastAsia="Calibri" w:hAnsi="Calibri"/>
                <w:sz w:val="19"/>
                <w:szCs w:val="19"/>
              </w:rPr>
              <w:t xml:space="preserve">Interactive dashboard, forms, file upload</w:t>
            </w:r>
          </w:p>
        </w:tc>
      </w:tr>
      <w:tr>
        <w:tc>
          <w:tcPr>
            <w:tcW w:type="dxa" w:w="3024"/>
            <w:shd w:fill="F8FAFC" w:val="clear"/>
          </w:tcPr>
          <w:p>
            <w:pPr>
              <w:spacing w:after="0"/>
            </w:pPr>
            <w:r>
              <w:rPr>
                <w:rFonts w:ascii="Calibri" w:cs="Calibri" w:eastAsia="Calibri" w:hAnsi="Calibri"/>
                <w:sz w:val="19"/>
                <w:szCs w:val="19"/>
              </w:rPr>
              <w:t xml:space="preserve">Authentication</w:t>
            </w:r>
          </w:p>
        </w:tc>
        <w:tc>
          <w:tcPr>
            <w:tcW w:type="dxa" w:w="3024"/>
            <w:shd w:fill="F8FAFC" w:val="clear"/>
          </w:tcPr>
          <w:p>
            <w:pPr>
              <w:spacing w:after="0"/>
            </w:pPr>
            <w:r>
              <w:rPr>
                <w:rFonts w:ascii="Calibri" w:cs="Calibri" w:eastAsia="Calibri" w:hAnsi="Calibri"/>
                <w:sz w:val="19"/>
                <w:szCs w:val="19"/>
              </w:rPr>
              <w:t xml:space="preserve">Streamlit Session State</w:t>
            </w:r>
          </w:p>
        </w:tc>
        <w:tc>
          <w:tcPr>
            <w:tcW w:type="dxa" w:w="3024"/>
            <w:shd w:fill="F8FAFC" w:val="clear"/>
          </w:tcPr>
          <w:p>
            <w:pPr>
              <w:spacing w:after="0"/>
            </w:pPr>
            <w:r>
              <w:rPr>
                <w:rFonts w:ascii="Calibri" w:cs="Calibri" w:eastAsia="Calibri" w:hAnsi="Calibri"/>
                <w:sz w:val="19"/>
                <w:szCs w:val="19"/>
              </w:rPr>
              <w:t xml:space="preserve">Role-based login (Admin/Analyst/Viewer)</w:t>
            </w:r>
          </w:p>
        </w:tc>
      </w:tr>
    </w:tbl>
    <w:p>
      <w:pPr>
        <w:spacing w:after="200"/>
      </w:pPr>
    </w:p>
    <w:p>
      <w:pPr>
        <w:pStyle w:val="Heading2"/>
        <w:spacing w:after="140" w:before="280"/>
      </w:pPr>
      <w:r>
        <w:t xml:space="preserve">3.2 Data Pipeline</w:t>
      </w:r>
    </w:p>
    <w:p>
      <w:pPr>
        <w:spacing w:after="160"/>
        <w:jc w:val="both"/>
      </w:pPr>
      <w:r>
        <w:rPr>
          <w:rFonts w:ascii="Calibri" w:cs="Calibri" w:eastAsia="Calibri" w:hAnsi="Calibri"/>
          <w:sz w:val="22"/>
          <w:szCs w:val="22"/>
        </w:rPr>
        <w:t xml:space="preserve">The data processing pipeline handles CSV uploads through five stages: (1) file ingestion and column validation, (2) type casting and null value imputation, (3) range clipping to valid boundaries, (4) categorical encoding, and (5) StandardScaler normalization. This ensures robust handling of real-world messy data without requiring manual preprocessing by the user.</w:t>
      </w:r>
    </w:p>
    <w:p>
      <w:r>
        <w:br w:type="page"/>
      </w:r>
    </w:p>
    <w:p>
      <w:pPr>
        <w:pStyle w:val="Heading1"/>
        <w:pBdr>
          <w:bottom w:val="single" w:color="0ea5e9" w:sz="12" w:space="4"/>
        </w:pBdr>
        <w:spacing w:after="200" w:before="360"/>
      </w:pPr>
      <w:r>
        <w:t xml:space="preserve">4. Dataset Description</w:t>
      </w:r>
    </w:p>
    <w:p>
      <w:pPr>
        <w:pStyle w:val="Heading2"/>
        <w:spacing w:after="140" w:before="280"/>
      </w:pPr>
      <w:r>
        <w:t xml:space="preserve">4.1 Loan Dataset</w:t>
      </w:r>
    </w:p>
    <w:p>
      <w:pPr>
        <w:spacing w:after="160"/>
        <w:jc w:val="both"/>
      </w:pPr>
      <w:r>
        <w:rPr>
          <w:rFonts w:ascii="Calibri" w:cs="Calibri" w:eastAsia="Calibri" w:hAnsi="Calibri"/>
          <w:sz w:val="22"/>
          <w:szCs w:val="22"/>
        </w:rPr>
        <w:t xml:space="preserve">A synthetic dataset of 2,000 customer records was generated to simulate realistic credit application data. The dataset was designed to reflect real-world distributions observed in published literature on consumer lending.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tblGrid>
      <w:tr>
        <w:tc>
          <w:tcPr>
            <w:tcW w:type="dxa" w:w="2268"/>
            <w:shd w:fill="1e293b" w:val="clear"/>
          </w:tcPr>
          <w:p>
            <w:pPr>
              <w:spacing w:after="0"/>
            </w:pPr>
            <w:r>
              <w:rPr>
                <w:rFonts w:ascii="Calibri" w:cs="Calibri" w:eastAsia="Calibri" w:hAnsi="Calibri"/>
                <w:b/>
                <w:bCs/>
                <w:color w:val="FFFFFF"/>
                <w:sz w:val="20"/>
                <w:szCs w:val="20"/>
              </w:rPr>
              <w:t xml:space="preserve">Feature</w:t>
            </w:r>
          </w:p>
        </w:tc>
        <w:tc>
          <w:tcPr>
            <w:tcW w:type="dxa" w:w="2268"/>
            <w:shd w:fill="1e293b" w:val="clear"/>
          </w:tcPr>
          <w:p>
            <w:pPr>
              <w:spacing w:after="0"/>
            </w:pPr>
            <w:r>
              <w:rPr>
                <w:rFonts w:ascii="Calibri" w:cs="Calibri" w:eastAsia="Calibri" w:hAnsi="Calibri"/>
                <w:b/>
                <w:bCs/>
                <w:color w:val="FFFFFF"/>
                <w:sz w:val="20"/>
                <w:szCs w:val="20"/>
              </w:rPr>
              <w:t xml:space="preserve">Type</w:t>
            </w:r>
          </w:p>
        </w:tc>
        <w:tc>
          <w:tcPr>
            <w:tcW w:type="dxa" w:w="2268"/>
            <w:shd w:fill="1e293b" w:val="clear"/>
          </w:tcPr>
          <w:p>
            <w:pPr>
              <w:spacing w:after="0"/>
            </w:pPr>
            <w:r>
              <w:rPr>
                <w:rFonts w:ascii="Calibri" w:cs="Calibri" w:eastAsia="Calibri" w:hAnsi="Calibri"/>
                <w:b/>
                <w:bCs/>
                <w:color w:val="FFFFFF"/>
                <w:sz w:val="20"/>
                <w:szCs w:val="20"/>
              </w:rPr>
              <w:t xml:space="preserve">Range</w:t>
            </w:r>
          </w:p>
        </w:tc>
        <w:tc>
          <w:tcPr>
            <w:tcW w:type="dxa" w:w="2268"/>
            <w:shd w:fill="1e293b" w:val="clear"/>
          </w:tcPr>
          <w:p>
            <w:pPr>
              <w:spacing w:after="0"/>
            </w:pPr>
            <w:r>
              <w:rPr>
                <w:rFonts w:ascii="Calibri" w:cs="Calibri" w:eastAsia="Calibri" w:hAnsi="Calibri"/>
                <w:b/>
                <w:bCs/>
                <w:color w:val="FFFFFF"/>
                <w:sz w:val="20"/>
                <w:szCs w:val="20"/>
              </w:rPr>
              <w:t xml:space="preserve">Description</w:t>
            </w:r>
          </w:p>
        </w:tc>
      </w:tr>
      <w:tr>
        <w:tc>
          <w:tcPr>
            <w:tcW w:type="dxa" w:w="2268"/>
          </w:tcPr>
          <w:p>
            <w:pPr>
              <w:spacing w:after="0"/>
            </w:pPr>
            <w:r>
              <w:rPr>
                <w:rFonts w:ascii="Calibri" w:cs="Calibri" w:eastAsia="Calibri" w:hAnsi="Calibri"/>
                <w:sz w:val="19"/>
                <w:szCs w:val="19"/>
              </w:rPr>
              <w:t xml:space="preserve">age</w:t>
            </w:r>
          </w:p>
        </w:tc>
        <w:tc>
          <w:tcPr>
            <w:tcW w:type="dxa" w:w="2268"/>
          </w:tcPr>
          <w:p>
            <w:pPr>
              <w:spacing w:after="0"/>
            </w:pPr>
            <w:r>
              <w:rPr>
                <w:rFonts w:ascii="Calibri" w:cs="Calibri" w:eastAsia="Calibri" w:hAnsi="Calibri"/>
                <w:sz w:val="19"/>
                <w:szCs w:val="19"/>
              </w:rPr>
              <w:t xml:space="preserve">Integer</w:t>
            </w:r>
          </w:p>
        </w:tc>
        <w:tc>
          <w:tcPr>
            <w:tcW w:type="dxa" w:w="2268"/>
          </w:tcPr>
          <w:p>
            <w:pPr>
              <w:spacing w:after="0"/>
            </w:pPr>
            <w:r>
              <w:rPr>
                <w:rFonts w:ascii="Calibri" w:cs="Calibri" w:eastAsia="Calibri" w:hAnsi="Calibri"/>
                <w:sz w:val="19"/>
                <w:szCs w:val="19"/>
              </w:rPr>
              <w:t xml:space="preserve">22–65</w:t>
            </w:r>
          </w:p>
        </w:tc>
        <w:tc>
          <w:tcPr>
            <w:tcW w:type="dxa" w:w="2268"/>
          </w:tcPr>
          <w:p>
            <w:pPr>
              <w:spacing w:after="0"/>
            </w:pPr>
            <w:r>
              <w:rPr>
                <w:rFonts w:ascii="Calibri" w:cs="Calibri" w:eastAsia="Calibri" w:hAnsi="Calibri"/>
                <w:sz w:val="19"/>
                <w:szCs w:val="19"/>
              </w:rPr>
              <w:t xml:space="preserve">Customer age in years</w:t>
            </w:r>
          </w:p>
        </w:tc>
      </w:tr>
      <w:tr>
        <w:tc>
          <w:tcPr>
            <w:tcW w:type="dxa" w:w="2268"/>
            <w:shd w:fill="F8FAFC" w:val="clear"/>
          </w:tcPr>
          <w:p>
            <w:pPr>
              <w:spacing w:after="0"/>
            </w:pPr>
            <w:r>
              <w:rPr>
                <w:rFonts w:ascii="Calibri" w:cs="Calibri" w:eastAsia="Calibri" w:hAnsi="Calibri"/>
                <w:sz w:val="19"/>
                <w:szCs w:val="19"/>
              </w:rPr>
              <w:t xml:space="preserve">income</w:t>
            </w:r>
          </w:p>
        </w:tc>
        <w:tc>
          <w:tcPr>
            <w:tcW w:type="dxa" w:w="2268"/>
            <w:shd w:fill="F8FAFC" w:val="clear"/>
          </w:tcPr>
          <w:p>
            <w:pPr>
              <w:spacing w:after="0"/>
            </w:pPr>
            <w:r>
              <w:rPr>
                <w:rFonts w:ascii="Calibri" w:cs="Calibri" w:eastAsia="Calibri" w:hAnsi="Calibri"/>
                <w:sz w:val="19"/>
                <w:szCs w:val="19"/>
              </w:rPr>
              <w:t xml:space="preserve">Integer</w:t>
            </w:r>
          </w:p>
        </w:tc>
        <w:tc>
          <w:tcPr>
            <w:tcW w:type="dxa" w:w="2268"/>
            <w:shd w:fill="F8FAFC" w:val="clear"/>
          </w:tcPr>
          <w:p>
            <w:pPr>
              <w:spacing w:after="0"/>
            </w:pPr>
            <w:r>
              <w:rPr>
                <w:rFonts w:ascii="Calibri" w:cs="Calibri" w:eastAsia="Calibri" w:hAnsi="Calibri"/>
                <w:sz w:val="19"/>
                <w:szCs w:val="19"/>
              </w:rPr>
              <w:t xml:space="preserve">$20,000–$150,000</w:t>
            </w:r>
          </w:p>
        </w:tc>
        <w:tc>
          <w:tcPr>
            <w:tcW w:type="dxa" w:w="2268"/>
            <w:shd w:fill="F8FAFC" w:val="clear"/>
          </w:tcPr>
          <w:p>
            <w:pPr>
              <w:spacing w:after="0"/>
            </w:pPr>
            <w:r>
              <w:rPr>
                <w:rFonts w:ascii="Calibri" w:cs="Calibri" w:eastAsia="Calibri" w:hAnsi="Calibri"/>
                <w:sz w:val="19"/>
                <w:szCs w:val="19"/>
              </w:rPr>
              <w:t xml:space="preserve">Annual income</w:t>
            </w:r>
          </w:p>
        </w:tc>
      </w:tr>
      <w:tr>
        <w:tc>
          <w:tcPr>
            <w:tcW w:type="dxa" w:w="2268"/>
          </w:tcPr>
          <w:p>
            <w:pPr>
              <w:spacing w:after="0"/>
            </w:pPr>
            <w:r>
              <w:rPr>
                <w:rFonts w:ascii="Calibri" w:cs="Calibri" w:eastAsia="Calibri" w:hAnsi="Calibri"/>
                <w:sz w:val="19"/>
                <w:szCs w:val="19"/>
              </w:rPr>
              <w:t xml:space="preserve">credit_score</w:t>
            </w:r>
          </w:p>
        </w:tc>
        <w:tc>
          <w:tcPr>
            <w:tcW w:type="dxa" w:w="2268"/>
          </w:tcPr>
          <w:p>
            <w:pPr>
              <w:spacing w:after="0"/>
            </w:pPr>
            <w:r>
              <w:rPr>
                <w:rFonts w:ascii="Calibri" w:cs="Calibri" w:eastAsia="Calibri" w:hAnsi="Calibri"/>
                <w:sz w:val="19"/>
                <w:szCs w:val="19"/>
              </w:rPr>
              <w:t xml:space="preserve">Integer</w:t>
            </w:r>
          </w:p>
        </w:tc>
        <w:tc>
          <w:tcPr>
            <w:tcW w:type="dxa" w:w="2268"/>
          </w:tcPr>
          <w:p>
            <w:pPr>
              <w:spacing w:after="0"/>
            </w:pPr>
            <w:r>
              <w:rPr>
                <w:rFonts w:ascii="Calibri" w:cs="Calibri" w:eastAsia="Calibri" w:hAnsi="Calibri"/>
                <w:sz w:val="19"/>
                <w:szCs w:val="19"/>
              </w:rPr>
              <w:t xml:space="preserve">300–850</w:t>
            </w:r>
          </w:p>
        </w:tc>
        <w:tc>
          <w:tcPr>
            <w:tcW w:type="dxa" w:w="2268"/>
          </w:tcPr>
          <w:p>
            <w:pPr>
              <w:spacing w:after="0"/>
            </w:pPr>
            <w:r>
              <w:rPr>
                <w:rFonts w:ascii="Calibri" w:cs="Calibri" w:eastAsia="Calibri" w:hAnsi="Calibri"/>
                <w:sz w:val="19"/>
                <w:szCs w:val="19"/>
              </w:rPr>
              <w:t xml:space="preserve">FICO-style credit score</w:t>
            </w:r>
          </w:p>
        </w:tc>
      </w:tr>
      <w:tr>
        <w:tc>
          <w:tcPr>
            <w:tcW w:type="dxa" w:w="2268"/>
            <w:shd w:fill="F8FAFC" w:val="clear"/>
          </w:tcPr>
          <w:p>
            <w:pPr>
              <w:spacing w:after="0"/>
            </w:pPr>
            <w:r>
              <w:rPr>
                <w:rFonts w:ascii="Calibri" w:cs="Calibri" w:eastAsia="Calibri" w:hAnsi="Calibri"/>
                <w:sz w:val="19"/>
                <w:szCs w:val="19"/>
              </w:rPr>
              <w:t xml:space="preserve">loan_amount</w:t>
            </w:r>
          </w:p>
        </w:tc>
        <w:tc>
          <w:tcPr>
            <w:tcW w:type="dxa" w:w="2268"/>
            <w:shd w:fill="F8FAFC" w:val="clear"/>
          </w:tcPr>
          <w:p>
            <w:pPr>
              <w:spacing w:after="0"/>
            </w:pPr>
            <w:r>
              <w:rPr>
                <w:rFonts w:ascii="Calibri" w:cs="Calibri" w:eastAsia="Calibri" w:hAnsi="Calibri"/>
                <w:sz w:val="19"/>
                <w:szCs w:val="19"/>
              </w:rPr>
              <w:t xml:space="preserve">Integer</w:t>
            </w:r>
          </w:p>
        </w:tc>
        <w:tc>
          <w:tcPr>
            <w:tcW w:type="dxa" w:w="2268"/>
            <w:shd w:fill="F8FAFC" w:val="clear"/>
          </w:tcPr>
          <w:p>
            <w:pPr>
              <w:spacing w:after="0"/>
            </w:pPr>
            <w:r>
              <w:rPr>
                <w:rFonts w:ascii="Calibri" w:cs="Calibri" w:eastAsia="Calibri" w:hAnsi="Calibri"/>
                <w:sz w:val="19"/>
                <w:szCs w:val="19"/>
              </w:rPr>
              <w:t xml:space="preserve">$5,000–$100,000</w:t>
            </w:r>
          </w:p>
        </w:tc>
        <w:tc>
          <w:tcPr>
            <w:tcW w:type="dxa" w:w="2268"/>
            <w:shd w:fill="F8FAFC" w:val="clear"/>
          </w:tcPr>
          <w:p>
            <w:pPr>
              <w:spacing w:after="0"/>
            </w:pPr>
            <w:r>
              <w:rPr>
                <w:rFonts w:ascii="Calibri" w:cs="Calibri" w:eastAsia="Calibri" w:hAnsi="Calibri"/>
                <w:sz w:val="19"/>
                <w:szCs w:val="19"/>
              </w:rPr>
              <w:t xml:space="preserve">Requested loan amount</w:t>
            </w:r>
          </w:p>
        </w:tc>
      </w:tr>
      <w:tr>
        <w:tc>
          <w:tcPr>
            <w:tcW w:type="dxa" w:w="2268"/>
          </w:tcPr>
          <w:p>
            <w:pPr>
              <w:spacing w:after="0"/>
            </w:pPr>
            <w:r>
              <w:rPr>
                <w:rFonts w:ascii="Calibri" w:cs="Calibri" w:eastAsia="Calibri" w:hAnsi="Calibri"/>
                <w:sz w:val="19"/>
                <w:szCs w:val="19"/>
              </w:rPr>
              <w:t xml:space="preserve">employment_years</w:t>
            </w:r>
          </w:p>
        </w:tc>
        <w:tc>
          <w:tcPr>
            <w:tcW w:type="dxa" w:w="2268"/>
          </w:tcPr>
          <w:p>
            <w:pPr>
              <w:spacing w:after="0"/>
            </w:pPr>
            <w:r>
              <w:rPr>
                <w:rFonts w:ascii="Calibri" w:cs="Calibri" w:eastAsia="Calibri" w:hAnsi="Calibri"/>
                <w:sz w:val="19"/>
                <w:szCs w:val="19"/>
              </w:rPr>
              <w:t xml:space="preserve">Integer</w:t>
            </w:r>
          </w:p>
        </w:tc>
        <w:tc>
          <w:tcPr>
            <w:tcW w:type="dxa" w:w="2268"/>
          </w:tcPr>
          <w:p>
            <w:pPr>
              <w:spacing w:after="0"/>
            </w:pPr>
            <w:r>
              <w:rPr>
                <w:rFonts w:ascii="Calibri" w:cs="Calibri" w:eastAsia="Calibri" w:hAnsi="Calibri"/>
                <w:sz w:val="19"/>
                <w:szCs w:val="19"/>
              </w:rPr>
              <w:t xml:space="preserve">0–30</w:t>
            </w:r>
          </w:p>
        </w:tc>
        <w:tc>
          <w:tcPr>
            <w:tcW w:type="dxa" w:w="2268"/>
          </w:tcPr>
          <w:p>
            <w:pPr>
              <w:spacing w:after="0"/>
            </w:pPr>
            <w:r>
              <w:rPr>
                <w:rFonts w:ascii="Calibri" w:cs="Calibri" w:eastAsia="Calibri" w:hAnsi="Calibri"/>
                <w:sz w:val="19"/>
                <w:szCs w:val="19"/>
              </w:rPr>
              <w:t xml:space="preserve">Years at current employer</w:t>
            </w:r>
          </w:p>
        </w:tc>
      </w:tr>
      <w:tr>
        <w:tc>
          <w:tcPr>
            <w:tcW w:type="dxa" w:w="2268"/>
            <w:shd w:fill="F8FAFC" w:val="clear"/>
          </w:tcPr>
          <w:p>
            <w:pPr>
              <w:spacing w:after="0"/>
            </w:pPr>
            <w:r>
              <w:rPr>
                <w:rFonts w:ascii="Calibri" w:cs="Calibri" w:eastAsia="Calibri" w:hAnsi="Calibri"/>
                <w:sz w:val="19"/>
                <w:szCs w:val="19"/>
              </w:rPr>
              <w:t xml:space="preserve">debt_to_income</w:t>
            </w:r>
          </w:p>
        </w:tc>
        <w:tc>
          <w:tcPr>
            <w:tcW w:type="dxa" w:w="2268"/>
            <w:shd w:fill="F8FAFC" w:val="clear"/>
          </w:tcPr>
          <w:p>
            <w:pPr>
              <w:spacing w:after="0"/>
            </w:pPr>
            <w:r>
              <w:rPr>
                <w:rFonts w:ascii="Calibri" w:cs="Calibri" w:eastAsia="Calibri" w:hAnsi="Calibri"/>
                <w:sz w:val="19"/>
                <w:szCs w:val="19"/>
              </w:rPr>
              <w:t xml:space="preserve">Float</w:t>
            </w:r>
          </w:p>
        </w:tc>
        <w:tc>
          <w:tcPr>
            <w:tcW w:type="dxa" w:w="2268"/>
            <w:shd w:fill="F8FAFC" w:val="clear"/>
          </w:tcPr>
          <w:p>
            <w:pPr>
              <w:spacing w:after="0"/>
            </w:pPr>
            <w:r>
              <w:rPr>
                <w:rFonts w:ascii="Calibri" w:cs="Calibri" w:eastAsia="Calibri" w:hAnsi="Calibri"/>
                <w:sz w:val="19"/>
                <w:szCs w:val="19"/>
              </w:rPr>
              <w:t xml:space="preserve">0.05–0.60</w:t>
            </w:r>
          </w:p>
        </w:tc>
        <w:tc>
          <w:tcPr>
            <w:tcW w:type="dxa" w:w="2268"/>
            <w:shd w:fill="F8FAFC" w:val="clear"/>
          </w:tcPr>
          <w:p>
            <w:pPr>
              <w:spacing w:after="0"/>
            </w:pPr>
            <w:r>
              <w:rPr>
                <w:rFonts w:ascii="Calibri" w:cs="Calibri" w:eastAsia="Calibri" w:hAnsi="Calibri"/>
                <w:sz w:val="19"/>
                <w:szCs w:val="19"/>
              </w:rPr>
              <w:t xml:space="preserve">Monthly debt / monthly income</w:t>
            </w:r>
          </w:p>
        </w:tc>
      </w:tr>
      <w:tr>
        <w:tc>
          <w:tcPr>
            <w:tcW w:type="dxa" w:w="2268"/>
          </w:tcPr>
          <w:p>
            <w:pPr>
              <w:spacing w:after="0"/>
            </w:pPr>
            <w:r>
              <w:rPr>
                <w:rFonts w:ascii="Calibri" w:cs="Calibri" w:eastAsia="Calibri" w:hAnsi="Calibri"/>
                <w:sz w:val="19"/>
                <w:szCs w:val="19"/>
              </w:rPr>
              <w:t xml:space="preserve">num_credit_lines</w:t>
            </w:r>
          </w:p>
        </w:tc>
        <w:tc>
          <w:tcPr>
            <w:tcW w:type="dxa" w:w="2268"/>
          </w:tcPr>
          <w:p>
            <w:pPr>
              <w:spacing w:after="0"/>
            </w:pPr>
            <w:r>
              <w:rPr>
                <w:rFonts w:ascii="Calibri" w:cs="Calibri" w:eastAsia="Calibri" w:hAnsi="Calibri"/>
                <w:sz w:val="19"/>
                <w:szCs w:val="19"/>
              </w:rPr>
              <w:t xml:space="preserve">Integer</w:t>
            </w:r>
          </w:p>
        </w:tc>
        <w:tc>
          <w:tcPr>
            <w:tcW w:type="dxa" w:w="2268"/>
          </w:tcPr>
          <w:p>
            <w:pPr>
              <w:spacing w:after="0"/>
            </w:pPr>
            <w:r>
              <w:rPr>
                <w:rFonts w:ascii="Calibri" w:cs="Calibri" w:eastAsia="Calibri" w:hAnsi="Calibri"/>
                <w:sz w:val="19"/>
                <w:szCs w:val="19"/>
              </w:rPr>
              <w:t xml:space="preserve">1–15</w:t>
            </w:r>
          </w:p>
        </w:tc>
        <w:tc>
          <w:tcPr>
            <w:tcW w:type="dxa" w:w="2268"/>
          </w:tcPr>
          <w:p>
            <w:pPr>
              <w:spacing w:after="0"/>
            </w:pPr>
            <w:r>
              <w:rPr>
                <w:rFonts w:ascii="Calibri" w:cs="Calibri" w:eastAsia="Calibri" w:hAnsi="Calibri"/>
                <w:sz w:val="19"/>
                <w:szCs w:val="19"/>
              </w:rPr>
              <w:t xml:space="preserve">Open credit lines</w:t>
            </w:r>
          </w:p>
        </w:tc>
      </w:tr>
      <w:tr>
        <w:tc>
          <w:tcPr>
            <w:tcW w:type="dxa" w:w="2268"/>
            <w:shd w:fill="F8FAFC" w:val="clear"/>
          </w:tcPr>
          <w:p>
            <w:pPr>
              <w:spacing w:after="0"/>
            </w:pPr>
            <w:r>
              <w:rPr>
                <w:rFonts w:ascii="Calibri" w:cs="Calibri" w:eastAsia="Calibri" w:hAnsi="Calibri"/>
                <w:sz w:val="19"/>
                <w:szCs w:val="19"/>
              </w:rPr>
              <w:t xml:space="preserve">missed_payments</w:t>
            </w:r>
          </w:p>
        </w:tc>
        <w:tc>
          <w:tcPr>
            <w:tcW w:type="dxa" w:w="2268"/>
            <w:shd w:fill="F8FAFC" w:val="clear"/>
          </w:tcPr>
          <w:p>
            <w:pPr>
              <w:spacing w:after="0"/>
            </w:pPr>
            <w:r>
              <w:rPr>
                <w:rFonts w:ascii="Calibri" w:cs="Calibri" w:eastAsia="Calibri" w:hAnsi="Calibri"/>
                <w:sz w:val="19"/>
                <w:szCs w:val="19"/>
              </w:rPr>
              <w:t xml:space="preserve">Integer</w:t>
            </w:r>
          </w:p>
        </w:tc>
        <w:tc>
          <w:tcPr>
            <w:tcW w:type="dxa" w:w="2268"/>
            <w:shd w:fill="F8FAFC" w:val="clear"/>
          </w:tcPr>
          <w:p>
            <w:pPr>
              <w:spacing w:after="0"/>
            </w:pPr>
            <w:r>
              <w:rPr>
                <w:rFonts w:ascii="Calibri" w:cs="Calibri" w:eastAsia="Calibri" w:hAnsi="Calibri"/>
                <w:sz w:val="19"/>
                <w:szCs w:val="19"/>
              </w:rPr>
              <w:t xml:space="preserve">0–10</w:t>
            </w:r>
          </w:p>
        </w:tc>
        <w:tc>
          <w:tcPr>
            <w:tcW w:type="dxa" w:w="2268"/>
            <w:shd w:fill="F8FAFC" w:val="clear"/>
          </w:tcPr>
          <w:p>
            <w:pPr>
              <w:spacing w:after="0"/>
            </w:pPr>
            <w:r>
              <w:rPr>
                <w:rFonts w:ascii="Calibri" w:cs="Calibri" w:eastAsia="Calibri" w:hAnsi="Calibri"/>
                <w:sz w:val="19"/>
                <w:szCs w:val="19"/>
              </w:rPr>
              <w:t xml:space="preserve">Missed payments in last 24 months</w:t>
            </w:r>
          </w:p>
        </w:tc>
      </w:tr>
      <w:tr>
        <w:tc>
          <w:tcPr>
            <w:tcW w:type="dxa" w:w="2268"/>
          </w:tcPr>
          <w:p>
            <w:pPr>
              <w:spacing w:after="0"/>
            </w:pPr>
            <w:r>
              <w:rPr>
                <w:rFonts w:ascii="Calibri" w:cs="Calibri" w:eastAsia="Calibri" w:hAnsi="Calibri"/>
                <w:sz w:val="19"/>
                <w:szCs w:val="19"/>
              </w:rPr>
              <w:t xml:space="preserve">education</w:t>
            </w:r>
          </w:p>
        </w:tc>
        <w:tc>
          <w:tcPr>
            <w:tcW w:type="dxa" w:w="2268"/>
          </w:tcPr>
          <w:p>
            <w:pPr>
              <w:spacing w:after="0"/>
            </w:pPr>
            <w:r>
              <w:rPr>
                <w:rFonts w:ascii="Calibri" w:cs="Calibri" w:eastAsia="Calibri" w:hAnsi="Calibri"/>
                <w:sz w:val="19"/>
                <w:szCs w:val="19"/>
              </w:rPr>
              <w:t xml:space="preserve">Categorical</w:t>
            </w:r>
          </w:p>
        </w:tc>
        <w:tc>
          <w:tcPr>
            <w:tcW w:type="dxa" w:w="2268"/>
          </w:tcPr>
          <w:p>
            <w:pPr>
              <w:spacing w:after="0"/>
            </w:pPr>
            <w:r>
              <w:rPr>
                <w:rFonts w:ascii="Calibri" w:cs="Calibri" w:eastAsia="Calibri" w:hAnsi="Calibri"/>
                <w:sz w:val="19"/>
                <w:szCs w:val="19"/>
              </w:rPr>
              <w:t xml:space="preserve">4 levels</w:t>
            </w:r>
          </w:p>
        </w:tc>
        <w:tc>
          <w:tcPr>
            <w:tcW w:type="dxa" w:w="2268"/>
          </w:tcPr>
          <w:p>
            <w:pPr>
              <w:spacing w:after="0"/>
            </w:pPr>
            <w:r>
              <w:rPr>
                <w:rFonts w:ascii="Calibri" w:cs="Calibri" w:eastAsia="Calibri" w:hAnsi="Calibri"/>
                <w:sz w:val="19"/>
                <w:szCs w:val="19"/>
              </w:rPr>
              <w:t xml:space="preserve">Highest education level</w:t>
            </w:r>
          </w:p>
        </w:tc>
      </w:tr>
      <w:tr>
        <w:tc>
          <w:tcPr>
            <w:tcW w:type="dxa" w:w="2268"/>
            <w:shd w:fill="F8FAFC" w:val="clear"/>
          </w:tcPr>
          <w:p>
            <w:pPr>
              <w:spacing w:after="0"/>
            </w:pPr>
            <w:r>
              <w:rPr>
                <w:rFonts w:ascii="Calibri" w:cs="Calibri" w:eastAsia="Calibri" w:hAnsi="Calibri"/>
                <w:sz w:val="19"/>
                <w:szCs w:val="19"/>
              </w:rPr>
              <w:t xml:space="preserve">loan_approved</w:t>
            </w:r>
          </w:p>
        </w:tc>
        <w:tc>
          <w:tcPr>
            <w:tcW w:type="dxa" w:w="2268"/>
            <w:shd w:fill="F8FAFC" w:val="clear"/>
          </w:tcPr>
          <w:p>
            <w:pPr>
              <w:spacing w:after="0"/>
            </w:pPr>
            <w:r>
              <w:rPr>
                <w:rFonts w:ascii="Calibri" w:cs="Calibri" w:eastAsia="Calibri" w:hAnsi="Calibri"/>
                <w:sz w:val="19"/>
                <w:szCs w:val="19"/>
              </w:rPr>
              <w:t xml:space="preserve">Binary</w:t>
            </w:r>
          </w:p>
        </w:tc>
        <w:tc>
          <w:tcPr>
            <w:tcW w:type="dxa" w:w="2268"/>
            <w:shd w:fill="F8FAFC" w:val="clear"/>
          </w:tcPr>
          <w:p>
            <w:pPr>
              <w:spacing w:after="0"/>
            </w:pPr>
            <w:r>
              <w:rPr>
                <w:rFonts w:ascii="Calibri" w:cs="Calibri" w:eastAsia="Calibri" w:hAnsi="Calibri"/>
                <w:sz w:val="19"/>
                <w:szCs w:val="19"/>
              </w:rPr>
              <w:t xml:space="preserve">0/1</w:t>
            </w:r>
          </w:p>
        </w:tc>
        <w:tc>
          <w:tcPr>
            <w:tcW w:type="dxa" w:w="2268"/>
            <w:shd w:fill="F8FAFC" w:val="clear"/>
          </w:tcPr>
          <w:p>
            <w:pPr>
              <w:spacing w:after="0"/>
            </w:pPr>
            <w:r>
              <w:rPr>
                <w:rFonts w:ascii="Calibri" w:cs="Calibri" w:eastAsia="Calibri" w:hAnsi="Calibri"/>
                <w:sz w:val="19"/>
                <w:szCs w:val="19"/>
              </w:rPr>
              <w:t xml:space="preserve">Target variable (approved=1)</w:t>
            </w:r>
          </w:p>
        </w:tc>
      </w:tr>
    </w:tbl>
    <w:p>
      <w:pPr>
        <w:spacing w:after="200"/>
      </w:pPr>
    </w:p>
    <w:p>
      <w:pPr>
        <w:pStyle w:val="Heading2"/>
        <w:spacing w:after="140" w:before="280"/>
      </w:pPr>
      <w:r>
        <w:t xml:space="preserve">4.2 Transaction Fraud Dataset</w:t>
      </w:r>
    </w:p>
    <w:p>
      <w:pPr>
        <w:spacing w:after="160"/>
        <w:jc w:val="both"/>
      </w:pPr>
      <w:r>
        <w:rPr>
          <w:rFonts w:ascii="Calibri" w:cs="Calibri" w:eastAsia="Calibri" w:hAnsi="Calibri"/>
          <w:sz w:val="22"/>
          <w:szCs w:val="22"/>
        </w:rPr>
        <w:t xml:space="preserve">The fraud dataset contains 2,000 financial transactions with realistic distributions modeled on published research in anomaly detection. Fraud cases represent approximately 0.8% of transactions, reflecting real-world class imbalance.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tblGrid>
      <w:tr>
        <w:tc>
          <w:tcPr>
            <w:tcW w:type="dxa" w:w="3024"/>
            <w:shd w:fill="1e293b" w:val="clear"/>
          </w:tcPr>
          <w:p>
            <w:pPr>
              <w:spacing w:after="0"/>
            </w:pPr>
            <w:r>
              <w:rPr>
                <w:rFonts w:ascii="Calibri" w:cs="Calibri" w:eastAsia="Calibri" w:hAnsi="Calibri"/>
                <w:b/>
                <w:bCs/>
                <w:color w:val="FFFFFF"/>
                <w:sz w:val="20"/>
                <w:szCs w:val="20"/>
              </w:rPr>
              <w:t xml:space="preserve">Feature</w:t>
            </w:r>
          </w:p>
        </w:tc>
        <w:tc>
          <w:tcPr>
            <w:tcW w:type="dxa" w:w="3024"/>
            <w:shd w:fill="1e293b" w:val="clear"/>
          </w:tcPr>
          <w:p>
            <w:pPr>
              <w:spacing w:after="0"/>
            </w:pPr>
            <w:r>
              <w:rPr>
                <w:rFonts w:ascii="Calibri" w:cs="Calibri" w:eastAsia="Calibri" w:hAnsi="Calibri"/>
                <w:b/>
                <w:bCs/>
                <w:color w:val="FFFFFF"/>
                <w:sz w:val="20"/>
                <w:szCs w:val="20"/>
              </w:rPr>
              <w:t xml:space="preserve">Type</w:t>
            </w:r>
          </w:p>
        </w:tc>
        <w:tc>
          <w:tcPr>
            <w:tcW w:type="dxa" w:w="3024"/>
            <w:shd w:fill="1e293b" w:val="clear"/>
          </w:tcPr>
          <w:p>
            <w:pPr>
              <w:spacing w:after="0"/>
            </w:pPr>
            <w:r>
              <w:rPr>
                <w:rFonts w:ascii="Calibri" w:cs="Calibri" w:eastAsia="Calibri" w:hAnsi="Calibri"/>
                <w:b/>
                <w:bCs/>
                <w:color w:val="FFFFFF"/>
                <w:sz w:val="20"/>
                <w:szCs w:val="20"/>
              </w:rPr>
              <w:t xml:space="preserve">Description</w:t>
            </w:r>
          </w:p>
        </w:tc>
      </w:tr>
      <w:tr>
        <w:tc>
          <w:tcPr>
            <w:tcW w:type="dxa" w:w="3024"/>
          </w:tcPr>
          <w:p>
            <w:pPr>
              <w:spacing w:after="0"/>
            </w:pPr>
            <w:r>
              <w:rPr>
                <w:rFonts w:ascii="Calibri" w:cs="Calibri" w:eastAsia="Calibri" w:hAnsi="Calibri"/>
                <w:sz w:val="19"/>
                <w:szCs w:val="19"/>
              </w:rPr>
              <w:t xml:space="preserve">txn_amount</w:t>
            </w:r>
          </w:p>
        </w:tc>
        <w:tc>
          <w:tcPr>
            <w:tcW w:type="dxa" w:w="3024"/>
          </w:tcPr>
          <w:p>
            <w:pPr>
              <w:spacing w:after="0"/>
            </w:pPr>
            <w:r>
              <w:rPr>
                <w:rFonts w:ascii="Calibri" w:cs="Calibri" w:eastAsia="Calibri" w:hAnsi="Calibri"/>
                <w:sz w:val="19"/>
                <w:szCs w:val="19"/>
              </w:rPr>
              <w:t xml:space="preserve">Float</w:t>
            </w:r>
          </w:p>
        </w:tc>
        <w:tc>
          <w:tcPr>
            <w:tcW w:type="dxa" w:w="3024"/>
          </w:tcPr>
          <w:p>
            <w:pPr>
              <w:spacing w:after="0"/>
            </w:pPr>
            <w:r>
              <w:rPr>
                <w:rFonts w:ascii="Calibri" w:cs="Calibri" w:eastAsia="Calibri" w:hAnsi="Calibri"/>
                <w:sz w:val="19"/>
                <w:szCs w:val="19"/>
              </w:rPr>
              <w:t xml:space="preserve">Transaction value in USD</w:t>
            </w:r>
          </w:p>
        </w:tc>
      </w:tr>
      <w:tr>
        <w:tc>
          <w:tcPr>
            <w:tcW w:type="dxa" w:w="3024"/>
            <w:shd w:fill="F8FAFC" w:val="clear"/>
          </w:tcPr>
          <w:p>
            <w:pPr>
              <w:spacing w:after="0"/>
            </w:pPr>
            <w:r>
              <w:rPr>
                <w:rFonts w:ascii="Calibri" w:cs="Calibri" w:eastAsia="Calibri" w:hAnsi="Calibri"/>
                <w:sz w:val="19"/>
                <w:szCs w:val="19"/>
              </w:rPr>
              <w:t xml:space="preserve">hour</w:t>
            </w:r>
          </w:p>
        </w:tc>
        <w:tc>
          <w:tcPr>
            <w:tcW w:type="dxa" w:w="3024"/>
            <w:shd w:fill="F8FAFC" w:val="clear"/>
          </w:tcPr>
          <w:p>
            <w:pPr>
              <w:spacing w:after="0"/>
            </w:pPr>
            <w:r>
              <w:rPr>
                <w:rFonts w:ascii="Calibri" w:cs="Calibri" w:eastAsia="Calibri" w:hAnsi="Calibri"/>
                <w:sz w:val="19"/>
                <w:szCs w:val="19"/>
              </w:rPr>
              <w:t xml:space="preserve">Integer</w:t>
            </w:r>
          </w:p>
        </w:tc>
        <w:tc>
          <w:tcPr>
            <w:tcW w:type="dxa" w:w="3024"/>
            <w:shd w:fill="F8FAFC" w:val="clear"/>
          </w:tcPr>
          <w:p>
            <w:pPr>
              <w:spacing w:after="0"/>
            </w:pPr>
            <w:r>
              <w:rPr>
                <w:rFonts w:ascii="Calibri" w:cs="Calibri" w:eastAsia="Calibri" w:hAnsi="Calibri"/>
                <w:sz w:val="19"/>
                <w:szCs w:val="19"/>
              </w:rPr>
              <w:t xml:space="preserve">Hour of day (0–23) when transaction occurred</w:t>
            </w:r>
          </w:p>
        </w:tc>
      </w:tr>
      <w:tr>
        <w:tc>
          <w:tcPr>
            <w:tcW w:type="dxa" w:w="3024"/>
          </w:tcPr>
          <w:p>
            <w:pPr>
              <w:spacing w:after="0"/>
            </w:pPr>
            <w:r>
              <w:rPr>
                <w:rFonts w:ascii="Calibri" w:cs="Calibri" w:eastAsia="Calibri" w:hAnsi="Calibri"/>
                <w:sz w:val="19"/>
                <w:szCs w:val="19"/>
              </w:rPr>
              <w:t xml:space="preserve">merchant_category</w:t>
            </w:r>
          </w:p>
        </w:tc>
        <w:tc>
          <w:tcPr>
            <w:tcW w:type="dxa" w:w="3024"/>
          </w:tcPr>
          <w:p>
            <w:pPr>
              <w:spacing w:after="0"/>
            </w:pPr>
            <w:r>
              <w:rPr>
                <w:rFonts w:ascii="Calibri" w:cs="Calibri" w:eastAsia="Calibri" w:hAnsi="Calibri"/>
                <w:sz w:val="19"/>
                <w:szCs w:val="19"/>
              </w:rPr>
              <w:t xml:space="preserve">Categorical</w:t>
            </w:r>
          </w:p>
        </w:tc>
        <w:tc>
          <w:tcPr>
            <w:tcW w:type="dxa" w:w="3024"/>
          </w:tcPr>
          <w:p>
            <w:pPr>
              <w:spacing w:after="0"/>
            </w:pPr>
            <w:r>
              <w:rPr>
                <w:rFonts w:ascii="Calibri" w:cs="Calibri" w:eastAsia="Calibri" w:hAnsi="Calibri"/>
                <w:sz w:val="19"/>
                <w:szCs w:val="19"/>
              </w:rPr>
              <w:t xml:space="preserve">Category: retail, online, travel, dining, other</w:t>
            </w:r>
          </w:p>
        </w:tc>
      </w:tr>
      <w:tr>
        <w:tc>
          <w:tcPr>
            <w:tcW w:type="dxa" w:w="3024"/>
            <w:shd w:fill="F8FAFC" w:val="clear"/>
          </w:tcPr>
          <w:p>
            <w:pPr>
              <w:spacing w:after="0"/>
            </w:pPr>
            <w:r>
              <w:rPr>
                <w:rFonts w:ascii="Calibri" w:cs="Calibri" w:eastAsia="Calibri" w:hAnsi="Calibri"/>
                <w:sz w:val="19"/>
                <w:szCs w:val="19"/>
              </w:rPr>
              <w:t xml:space="preserve">distance_from_home</w:t>
            </w:r>
          </w:p>
        </w:tc>
        <w:tc>
          <w:tcPr>
            <w:tcW w:type="dxa" w:w="3024"/>
            <w:shd w:fill="F8FAFC" w:val="clear"/>
          </w:tcPr>
          <w:p>
            <w:pPr>
              <w:spacing w:after="0"/>
            </w:pPr>
            <w:r>
              <w:rPr>
                <w:rFonts w:ascii="Calibri" w:cs="Calibri" w:eastAsia="Calibri" w:hAnsi="Calibri"/>
                <w:sz w:val="19"/>
                <w:szCs w:val="19"/>
              </w:rPr>
              <w:t xml:space="preserve">Float</w:t>
            </w:r>
          </w:p>
        </w:tc>
        <w:tc>
          <w:tcPr>
            <w:tcW w:type="dxa" w:w="3024"/>
            <w:shd w:fill="F8FAFC" w:val="clear"/>
          </w:tcPr>
          <w:p>
            <w:pPr>
              <w:spacing w:after="0"/>
            </w:pPr>
            <w:r>
              <w:rPr>
                <w:rFonts w:ascii="Calibri" w:cs="Calibri" w:eastAsia="Calibri" w:hAnsi="Calibri"/>
                <w:sz w:val="19"/>
                <w:szCs w:val="19"/>
              </w:rPr>
              <w:t xml:space="preserve">Distance (km) from customer's registered address</w:t>
            </w:r>
          </w:p>
        </w:tc>
      </w:tr>
      <w:tr>
        <w:tc>
          <w:tcPr>
            <w:tcW w:type="dxa" w:w="3024"/>
          </w:tcPr>
          <w:p>
            <w:pPr>
              <w:spacing w:after="0"/>
            </w:pPr>
            <w:r>
              <w:rPr>
                <w:rFonts w:ascii="Calibri" w:cs="Calibri" w:eastAsia="Calibri" w:hAnsi="Calibri"/>
                <w:sz w:val="19"/>
                <w:szCs w:val="19"/>
              </w:rPr>
              <w:t xml:space="preserve">avg_daily_spend</w:t>
            </w:r>
          </w:p>
        </w:tc>
        <w:tc>
          <w:tcPr>
            <w:tcW w:type="dxa" w:w="3024"/>
          </w:tcPr>
          <w:p>
            <w:pPr>
              <w:spacing w:after="0"/>
            </w:pPr>
            <w:r>
              <w:rPr>
                <w:rFonts w:ascii="Calibri" w:cs="Calibri" w:eastAsia="Calibri" w:hAnsi="Calibri"/>
                <w:sz w:val="19"/>
                <w:szCs w:val="19"/>
              </w:rPr>
              <w:t xml:space="preserve">Integer</w:t>
            </w:r>
          </w:p>
        </w:tc>
        <w:tc>
          <w:tcPr>
            <w:tcW w:type="dxa" w:w="3024"/>
          </w:tcPr>
          <w:p>
            <w:pPr>
              <w:spacing w:after="0"/>
            </w:pPr>
            <w:r>
              <w:rPr>
                <w:rFonts w:ascii="Calibri" w:cs="Calibri" w:eastAsia="Calibri" w:hAnsi="Calibri"/>
                <w:sz w:val="19"/>
                <w:szCs w:val="19"/>
              </w:rPr>
              <w:t xml:space="preserve">Customer's average daily spending baseline</w:t>
            </w:r>
          </w:p>
        </w:tc>
      </w:tr>
      <w:tr>
        <w:tc>
          <w:tcPr>
            <w:tcW w:type="dxa" w:w="3024"/>
            <w:shd w:fill="F8FAFC" w:val="clear"/>
          </w:tcPr>
          <w:p>
            <w:pPr>
              <w:spacing w:after="0"/>
            </w:pPr>
            <w:r>
              <w:rPr>
                <w:rFonts w:ascii="Calibri" w:cs="Calibri" w:eastAsia="Calibri" w:hAnsi="Calibri"/>
                <w:sz w:val="19"/>
                <w:szCs w:val="19"/>
              </w:rPr>
              <w:t xml:space="preserve">num_txn_today</w:t>
            </w:r>
          </w:p>
        </w:tc>
        <w:tc>
          <w:tcPr>
            <w:tcW w:type="dxa" w:w="3024"/>
            <w:shd w:fill="F8FAFC" w:val="clear"/>
          </w:tcPr>
          <w:p>
            <w:pPr>
              <w:spacing w:after="0"/>
            </w:pPr>
            <w:r>
              <w:rPr>
                <w:rFonts w:ascii="Calibri" w:cs="Calibri" w:eastAsia="Calibri" w:hAnsi="Calibri"/>
                <w:sz w:val="19"/>
                <w:szCs w:val="19"/>
              </w:rPr>
              <w:t xml:space="preserve">Integer</w:t>
            </w:r>
          </w:p>
        </w:tc>
        <w:tc>
          <w:tcPr>
            <w:tcW w:type="dxa" w:w="3024"/>
            <w:shd w:fill="F8FAFC" w:val="clear"/>
          </w:tcPr>
          <w:p>
            <w:pPr>
              <w:spacing w:after="0"/>
            </w:pPr>
            <w:r>
              <w:rPr>
                <w:rFonts w:ascii="Calibri" w:cs="Calibri" w:eastAsia="Calibri" w:hAnsi="Calibri"/>
                <w:sz w:val="19"/>
                <w:szCs w:val="19"/>
              </w:rPr>
              <w:t xml:space="preserve">Number of transactions by this account today</w:t>
            </w:r>
          </w:p>
        </w:tc>
      </w:tr>
      <w:tr>
        <w:tc>
          <w:tcPr>
            <w:tcW w:type="dxa" w:w="3024"/>
          </w:tcPr>
          <w:p>
            <w:pPr>
              <w:spacing w:after="0"/>
            </w:pPr>
            <w:r>
              <w:rPr>
                <w:rFonts w:ascii="Calibri" w:cs="Calibri" w:eastAsia="Calibri" w:hAnsi="Calibri"/>
                <w:sz w:val="19"/>
                <w:szCs w:val="19"/>
              </w:rPr>
              <w:t xml:space="preserve">foreign_txn</w:t>
            </w:r>
          </w:p>
        </w:tc>
        <w:tc>
          <w:tcPr>
            <w:tcW w:type="dxa" w:w="3024"/>
          </w:tcPr>
          <w:p>
            <w:pPr>
              <w:spacing w:after="0"/>
            </w:pPr>
            <w:r>
              <w:rPr>
                <w:rFonts w:ascii="Calibri" w:cs="Calibri" w:eastAsia="Calibri" w:hAnsi="Calibri"/>
                <w:sz w:val="19"/>
                <w:szCs w:val="19"/>
              </w:rPr>
              <w:t xml:space="preserve">Binary</w:t>
            </w:r>
          </w:p>
        </w:tc>
        <w:tc>
          <w:tcPr>
            <w:tcW w:type="dxa" w:w="3024"/>
          </w:tcPr>
          <w:p>
            <w:pPr>
              <w:spacing w:after="0"/>
            </w:pPr>
            <w:r>
              <w:rPr>
                <w:rFonts w:ascii="Calibri" w:cs="Calibri" w:eastAsia="Calibri" w:hAnsi="Calibri"/>
                <w:sz w:val="19"/>
                <w:szCs w:val="19"/>
              </w:rPr>
              <w:t xml:space="preserve">Whether transaction is international (1=yes)</w:t>
            </w:r>
          </w:p>
        </w:tc>
      </w:tr>
      <w:tr>
        <w:tc>
          <w:tcPr>
            <w:tcW w:type="dxa" w:w="3024"/>
            <w:shd w:fill="F8FAFC" w:val="clear"/>
          </w:tcPr>
          <w:p>
            <w:pPr>
              <w:spacing w:after="0"/>
            </w:pPr>
            <w:r>
              <w:rPr>
                <w:rFonts w:ascii="Calibri" w:cs="Calibri" w:eastAsia="Calibri" w:hAnsi="Calibri"/>
                <w:sz w:val="19"/>
                <w:szCs w:val="19"/>
              </w:rPr>
              <w:t xml:space="preserve">is_fraud</w:t>
            </w:r>
          </w:p>
        </w:tc>
        <w:tc>
          <w:tcPr>
            <w:tcW w:type="dxa" w:w="3024"/>
            <w:shd w:fill="F8FAFC" w:val="clear"/>
          </w:tcPr>
          <w:p>
            <w:pPr>
              <w:spacing w:after="0"/>
            </w:pPr>
            <w:r>
              <w:rPr>
                <w:rFonts w:ascii="Calibri" w:cs="Calibri" w:eastAsia="Calibri" w:hAnsi="Calibri"/>
                <w:sz w:val="19"/>
                <w:szCs w:val="19"/>
              </w:rPr>
              <w:t xml:space="preserve">Binary</w:t>
            </w:r>
          </w:p>
        </w:tc>
        <w:tc>
          <w:tcPr>
            <w:tcW w:type="dxa" w:w="3024"/>
            <w:shd w:fill="F8FAFC" w:val="clear"/>
          </w:tcPr>
          <w:p>
            <w:pPr>
              <w:spacing w:after="0"/>
            </w:pPr>
            <w:r>
              <w:rPr>
                <w:rFonts w:ascii="Calibri" w:cs="Calibri" w:eastAsia="Calibri" w:hAnsi="Calibri"/>
                <w:sz w:val="19"/>
                <w:szCs w:val="19"/>
              </w:rPr>
              <w:t xml:space="preserve">Target variable: 1=fraudulent, 0=legitimate</w:t>
            </w:r>
          </w:p>
        </w:tc>
      </w:tr>
    </w:tbl>
    <w:p>
      <w:pPr>
        <w:spacing w:after="200"/>
      </w:pPr>
    </w:p>
    <w:p>
      <w:r>
        <w:br w:type="page"/>
      </w:r>
    </w:p>
    <w:p>
      <w:pPr>
        <w:pStyle w:val="Heading1"/>
        <w:pBdr>
          <w:bottom w:val="single" w:color="0ea5e9" w:sz="12" w:space="4"/>
        </w:pBdr>
        <w:spacing w:after="200" w:before="360"/>
      </w:pPr>
      <w:r>
        <w:t xml:space="preserve">5. Machine Learning Models</w:t>
      </w:r>
    </w:p>
    <w:p>
      <w:pPr>
        <w:pStyle w:val="Heading2"/>
        <w:spacing w:after="140" w:before="280"/>
      </w:pPr>
      <w:r>
        <w:t xml:space="preserve">5.1 Loan Approval — Random Forest</w:t>
      </w:r>
    </w:p>
    <w:p>
      <w:pPr>
        <w:spacing w:after="160"/>
        <w:jc w:val="both"/>
      </w:pPr>
      <w:r>
        <w:rPr>
          <w:rFonts w:ascii="Calibri" w:cs="Calibri" w:eastAsia="Calibri" w:hAnsi="Calibri"/>
          <w:sz w:val="22"/>
          <w:szCs w:val="22"/>
        </w:rPr>
        <w:t xml:space="preserve">Random Forest is an ensemble learning method that constructs multiple decision trees during training and outputs the class mode of individual trees. It offers several advantages for credit scoring: it handles missing values gracefully, provides feature importance scores, is resistant to overfitting through bagging, and achieves strong performance without extensive hyperparameter tuning.</w:t>
      </w:r>
    </w:p>
    <w:p>
      <w:pPr>
        <w:pStyle w:val="Heading2"/>
        <w:spacing w:after="140" w:before="280"/>
      </w:pPr>
      <w:r>
        <w:t xml:space="preserve">5.2 Configuration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EFF6FF" w:val="clear"/>
          </w:tcPr>
          <w:p>
            <w:pPr>
              <w:spacing w:after="0"/>
            </w:pPr>
            <w:r>
              <w:rPr>
                <w:rFonts w:ascii="Calibri" w:cs="Calibri" w:eastAsia="Calibri" w:hAnsi="Calibri"/>
                <w:b/>
                <w:bCs/>
                <w:sz w:val="20"/>
                <w:szCs w:val="20"/>
              </w:rPr>
              <w:t xml:space="preserve">Algorithm</w:t>
            </w:r>
          </w:p>
        </w:tc>
        <w:tc>
          <w:tcPr>
            <w:tcW w:type="dxa" w:w="3000"/>
          </w:tcPr>
          <w:p>
            <w:pPr>
              <w:spacing w:after="0"/>
            </w:pPr>
            <w:r>
              <w:rPr>
                <w:rFonts w:ascii="Calibri" w:cs="Calibri" w:eastAsia="Calibri" w:hAnsi="Calibri"/>
                <w:color w:val="065f46"/>
                <w:sz w:val="20"/>
                <w:szCs w:val="20"/>
              </w:rPr>
              <w:t xml:space="preserve">RandomForestClassifier</w:t>
            </w:r>
          </w:p>
        </w:tc>
      </w:tr>
      <w:tr>
        <w:tc>
          <w:tcPr>
            <w:tcW w:type="dxa" w:w="3000"/>
            <w:shd w:fill="EFF6FF" w:val="clear"/>
          </w:tcPr>
          <w:p>
            <w:pPr>
              <w:spacing w:after="0"/>
            </w:pPr>
            <w:r>
              <w:rPr>
                <w:rFonts w:ascii="Calibri" w:cs="Calibri" w:eastAsia="Calibri" w:hAnsi="Calibri"/>
                <w:b/>
                <w:bCs/>
                <w:sz w:val="20"/>
                <w:szCs w:val="20"/>
              </w:rPr>
              <w:t xml:space="preserve">n_estimators</w:t>
            </w:r>
          </w:p>
        </w:tc>
        <w:tc>
          <w:tcPr>
            <w:tcW w:type="dxa" w:w="3000"/>
          </w:tcPr>
          <w:p>
            <w:pPr>
              <w:spacing w:after="0"/>
            </w:pPr>
            <w:r>
              <w:rPr>
                <w:rFonts w:ascii="Calibri" w:cs="Calibri" w:eastAsia="Calibri" w:hAnsi="Calibri"/>
                <w:color w:val="065f46"/>
                <w:sz w:val="20"/>
                <w:szCs w:val="20"/>
              </w:rPr>
              <w:t xml:space="preserve">100</w:t>
            </w:r>
          </w:p>
        </w:tc>
      </w:tr>
      <w:tr>
        <w:tc>
          <w:tcPr>
            <w:tcW w:type="dxa" w:w="3000"/>
            <w:shd w:fill="EFF6FF" w:val="clear"/>
          </w:tcPr>
          <w:p>
            <w:pPr>
              <w:spacing w:after="0"/>
            </w:pPr>
            <w:r>
              <w:rPr>
                <w:rFonts w:ascii="Calibri" w:cs="Calibri" w:eastAsia="Calibri" w:hAnsi="Calibri"/>
                <w:b/>
                <w:bCs/>
                <w:sz w:val="20"/>
                <w:szCs w:val="20"/>
              </w:rPr>
              <w:t xml:space="preserve">max_depth</w:t>
            </w:r>
          </w:p>
        </w:tc>
        <w:tc>
          <w:tcPr>
            <w:tcW w:type="dxa" w:w="3000"/>
          </w:tcPr>
          <w:p>
            <w:pPr>
              <w:spacing w:after="0"/>
            </w:pPr>
            <w:r>
              <w:rPr>
                <w:rFonts w:ascii="Calibri" w:cs="Calibri" w:eastAsia="Calibri" w:hAnsi="Calibri"/>
                <w:color w:val="065f46"/>
                <w:sz w:val="20"/>
                <w:szCs w:val="20"/>
              </w:rPr>
              <w:t xml:space="preserve">8</w:t>
            </w:r>
          </w:p>
        </w:tc>
      </w:tr>
      <w:tr>
        <w:tc>
          <w:tcPr>
            <w:tcW w:type="dxa" w:w="3000"/>
            <w:shd w:fill="EFF6FF" w:val="clear"/>
          </w:tcPr>
          <w:p>
            <w:pPr>
              <w:spacing w:after="0"/>
            </w:pPr>
            <w:r>
              <w:rPr>
                <w:rFonts w:ascii="Calibri" w:cs="Calibri" w:eastAsia="Calibri" w:hAnsi="Calibri"/>
                <w:b/>
                <w:bCs/>
                <w:sz w:val="20"/>
                <w:szCs w:val="20"/>
              </w:rPr>
              <w:t xml:space="preserve">random_state</w:t>
            </w:r>
          </w:p>
        </w:tc>
        <w:tc>
          <w:tcPr>
            <w:tcW w:type="dxa" w:w="3000"/>
          </w:tcPr>
          <w:p>
            <w:pPr>
              <w:spacing w:after="0"/>
            </w:pPr>
            <w:r>
              <w:rPr>
                <w:rFonts w:ascii="Calibri" w:cs="Calibri" w:eastAsia="Calibri" w:hAnsi="Calibri"/>
                <w:color w:val="065f46"/>
                <w:sz w:val="20"/>
                <w:szCs w:val="20"/>
              </w:rPr>
              <w:t xml:space="preserve">42</w:t>
            </w:r>
          </w:p>
        </w:tc>
      </w:tr>
      <w:tr>
        <w:tc>
          <w:tcPr>
            <w:tcW w:type="dxa" w:w="3000"/>
            <w:shd w:fill="EFF6FF" w:val="clear"/>
          </w:tcPr>
          <w:p>
            <w:pPr>
              <w:spacing w:after="0"/>
            </w:pPr>
            <w:r>
              <w:rPr>
                <w:rFonts w:ascii="Calibri" w:cs="Calibri" w:eastAsia="Calibri" w:hAnsi="Calibri"/>
                <w:b/>
                <w:bCs/>
                <w:sz w:val="20"/>
                <w:szCs w:val="20"/>
              </w:rPr>
              <w:t xml:space="preserve">Scaler</w:t>
            </w:r>
          </w:p>
        </w:tc>
        <w:tc>
          <w:tcPr>
            <w:tcW w:type="dxa" w:w="3000"/>
          </w:tcPr>
          <w:p>
            <w:pPr>
              <w:spacing w:after="0"/>
            </w:pPr>
            <w:r>
              <w:rPr>
                <w:rFonts w:ascii="Calibri" w:cs="Calibri" w:eastAsia="Calibri" w:hAnsi="Calibri"/>
                <w:color w:val="065f46"/>
                <w:sz w:val="20"/>
                <w:szCs w:val="20"/>
              </w:rPr>
              <w:t xml:space="preserve">StandardScaler</w:t>
            </w:r>
          </w:p>
        </w:tc>
      </w:tr>
      <w:tr>
        <w:tc>
          <w:tcPr>
            <w:tcW w:type="dxa" w:w="3000"/>
            <w:shd w:fill="EFF6FF" w:val="clear"/>
          </w:tcPr>
          <w:p>
            <w:pPr>
              <w:spacing w:after="0"/>
            </w:pPr>
            <w:r>
              <w:rPr>
                <w:rFonts w:ascii="Calibri" w:cs="Calibri" w:eastAsia="Calibri" w:hAnsi="Calibri"/>
                <w:b/>
                <w:bCs/>
                <w:sz w:val="20"/>
                <w:szCs w:val="20"/>
              </w:rPr>
              <w:t xml:space="preserve">Train/Test Split</w:t>
            </w:r>
          </w:p>
        </w:tc>
        <w:tc>
          <w:tcPr>
            <w:tcW w:type="dxa" w:w="3000"/>
          </w:tcPr>
          <w:p>
            <w:pPr>
              <w:spacing w:after="0"/>
            </w:pPr>
            <w:r>
              <w:rPr>
                <w:rFonts w:ascii="Calibri" w:cs="Calibri" w:eastAsia="Calibri" w:hAnsi="Calibri"/>
                <w:color w:val="065f46"/>
                <w:sz w:val="20"/>
                <w:szCs w:val="20"/>
              </w:rPr>
              <w:t xml:space="preserve">80% / 20%</w:t>
            </w:r>
          </w:p>
        </w:tc>
      </w:tr>
      <w:tr>
        <w:tc>
          <w:tcPr>
            <w:tcW w:type="dxa" w:w="3000"/>
            <w:shd w:fill="EFF6FF" w:val="clear"/>
          </w:tcPr>
          <w:p>
            <w:pPr>
              <w:spacing w:after="0"/>
            </w:pPr>
            <w:r>
              <w:rPr>
                <w:rFonts w:ascii="Calibri" w:cs="Calibri" w:eastAsia="Calibri" w:hAnsi="Calibri"/>
                <w:b/>
                <w:bCs/>
                <w:sz w:val="20"/>
                <w:szCs w:val="20"/>
              </w:rPr>
              <w:t xml:space="preserve">AUC Score</w:t>
            </w:r>
          </w:p>
        </w:tc>
        <w:tc>
          <w:tcPr>
            <w:tcW w:type="dxa" w:w="3000"/>
          </w:tcPr>
          <w:p>
            <w:pPr>
              <w:spacing w:after="0"/>
            </w:pPr>
            <w:r>
              <w:rPr>
                <w:rFonts w:ascii="Calibri" w:cs="Calibri" w:eastAsia="Calibri" w:hAnsi="Calibri"/>
                <w:color w:val="065f46"/>
                <w:sz w:val="20"/>
                <w:szCs w:val="20"/>
              </w:rPr>
              <w:t xml:space="preserve">0.9324</w:t>
            </w:r>
          </w:p>
        </w:tc>
      </w:tr>
      <w:tr>
        <w:tc>
          <w:tcPr>
            <w:tcW w:type="dxa" w:w="3000"/>
            <w:shd w:fill="EFF6FF" w:val="clear"/>
          </w:tcPr>
          <w:p>
            <w:pPr>
              <w:spacing w:after="0"/>
            </w:pPr>
            <w:r>
              <w:rPr>
                <w:rFonts w:ascii="Calibri" w:cs="Calibri" w:eastAsia="Calibri" w:hAnsi="Calibri"/>
                <w:b/>
                <w:bCs/>
                <w:sz w:val="20"/>
                <w:szCs w:val="20"/>
              </w:rPr>
              <w:t xml:space="preserve">Accuracy</w:t>
            </w:r>
          </w:p>
        </w:tc>
        <w:tc>
          <w:tcPr>
            <w:tcW w:type="dxa" w:w="3000"/>
          </w:tcPr>
          <w:p>
            <w:pPr>
              <w:spacing w:after="0"/>
            </w:pPr>
            <w:r>
              <w:rPr>
                <w:rFonts w:ascii="Calibri" w:cs="Calibri" w:eastAsia="Calibri" w:hAnsi="Calibri"/>
                <w:color w:val="065f46"/>
                <w:sz w:val="20"/>
                <w:szCs w:val="20"/>
              </w:rPr>
              <w:t xml:space="preserve">0.9275</w:t>
            </w:r>
          </w:p>
        </w:tc>
      </w:tr>
      <w:tr>
        <w:tc>
          <w:tcPr>
            <w:tcW w:type="dxa" w:w="3000"/>
            <w:shd w:fill="EFF6FF" w:val="clear"/>
          </w:tcPr>
          <w:p>
            <w:pPr>
              <w:spacing w:after="0"/>
            </w:pPr>
            <w:r>
              <w:rPr>
                <w:rFonts w:ascii="Calibri" w:cs="Calibri" w:eastAsia="Calibri" w:hAnsi="Calibri"/>
                <w:b/>
                <w:bCs/>
                <w:sz w:val="20"/>
                <w:szCs w:val="20"/>
              </w:rPr>
              <w:t xml:space="preserve">Precision</w:t>
            </w:r>
          </w:p>
        </w:tc>
        <w:tc>
          <w:tcPr>
            <w:tcW w:type="dxa" w:w="3000"/>
          </w:tcPr>
          <w:p>
            <w:pPr>
              <w:spacing w:after="0"/>
            </w:pPr>
            <w:r>
              <w:rPr>
                <w:rFonts w:ascii="Calibri" w:cs="Calibri" w:eastAsia="Calibri" w:hAnsi="Calibri"/>
                <w:color w:val="065f46"/>
                <w:sz w:val="20"/>
                <w:szCs w:val="20"/>
              </w:rPr>
              <w:t xml:space="preserve">0.7500</w:t>
            </w:r>
          </w:p>
        </w:tc>
      </w:tr>
      <w:tr>
        <w:tc>
          <w:tcPr>
            <w:tcW w:type="dxa" w:w="3000"/>
            <w:shd w:fill="EFF6FF" w:val="clear"/>
          </w:tcPr>
          <w:p>
            <w:pPr>
              <w:spacing w:after="0"/>
            </w:pPr>
            <w:r>
              <w:rPr>
                <w:rFonts w:ascii="Calibri" w:cs="Calibri" w:eastAsia="Calibri" w:hAnsi="Calibri"/>
                <w:b/>
                <w:bCs/>
                <w:sz w:val="20"/>
                <w:szCs w:val="20"/>
              </w:rPr>
              <w:t xml:space="preserve">Recall</w:t>
            </w:r>
          </w:p>
        </w:tc>
        <w:tc>
          <w:tcPr>
            <w:tcW w:type="dxa" w:w="3000"/>
          </w:tcPr>
          <w:p>
            <w:pPr>
              <w:spacing w:after="0"/>
            </w:pPr>
            <w:r>
              <w:rPr>
                <w:rFonts w:ascii="Calibri" w:cs="Calibri" w:eastAsia="Calibri" w:hAnsi="Calibri"/>
                <w:color w:val="065f46"/>
                <w:sz w:val="20"/>
                <w:szCs w:val="20"/>
              </w:rPr>
              <w:t xml:space="preserve">0.5745</w:t>
            </w:r>
          </w:p>
        </w:tc>
      </w:tr>
      <w:tr>
        <w:tc>
          <w:tcPr>
            <w:tcW w:type="dxa" w:w="3000"/>
            <w:shd w:fill="EFF6FF" w:val="clear"/>
          </w:tcPr>
          <w:p>
            <w:pPr>
              <w:spacing w:after="0"/>
            </w:pPr>
            <w:r>
              <w:rPr>
                <w:rFonts w:ascii="Calibri" w:cs="Calibri" w:eastAsia="Calibri" w:hAnsi="Calibri"/>
                <w:b/>
                <w:bCs/>
                <w:sz w:val="20"/>
                <w:szCs w:val="20"/>
              </w:rPr>
              <w:t xml:space="preserve">F1 Score</w:t>
            </w:r>
          </w:p>
        </w:tc>
        <w:tc>
          <w:tcPr>
            <w:tcW w:type="dxa" w:w="3000"/>
          </w:tcPr>
          <w:p>
            <w:pPr>
              <w:spacing w:after="0"/>
            </w:pPr>
            <w:r>
              <w:rPr>
                <w:rFonts w:ascii="Calibri" w:cs="Calibri" w:eastAsia="Calibri" w:hAnsi="Calibri"/>
                <w:color w:val="065f46"/>
                <w:sz w:val="20"/>
                <w:szCs w:val="20"/>
              </w:rPr>
              <w:t xml:space="preserve">0.6506</w:t>
            </w:r>
          </w:p>
        </w:tc>
      </w:tr>
    </w:tbl>
    <w:p>
      <w:pPr>
        <w:spacing w:after="200"/>
      </w:pPr>
    </w:p>
    <w:p>
      <w:pPr>
        <w:pStyle w:val="Heading2"/>
        <w:spacing w:after="140" w:before="280"/>
      </w:pPr>
      <w:r>
        <w:t xml:space="preserve">5.3 Fraud Detection — Gradient Boosting</w:t>
      </w:r>
    </w:p>
    <w:p>
      <w:pPr>
        <w:spacing w:after="160"/>
        <w:jc w:val="both"/>
      </w:pPr>
      <w:r>
        <w:rPr>
          <w:rFonts w:ascii="Calibri" w:cs="Calibri" w:eastAsia="Calibri" w:hAnsi="Calibri"/>
          <w:sz w:val="22"/>
          <w:szCs w:val="22"/>
        </w:rPr>
        <w:t xml:space="preserve">Gradient Boosting is a sequential ensemble technique that builds trees one at a time, where each new tree corrects errors made by previously trained trees. It is particularly effective for fraud detection because it excels at learning complex non-linear patterns in imbalanced datasets, which is characteristic of fraud data where fraudulent cases represent a small minority of transactions.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dxa" w:w="3000"/>
            <w:shd w:fill="EFF6FF" w:val="clear"/>
          </w:tcPr>
          <w:p>
            <w:pPr>
              <w:spacing w:after="0"/>
            </w:pPr>
            <w:r>
              <w:rPr>
                <w:rFonts w:ascii="Calibri" w:cs="Calibri" w:eastAsia="Calibri" w:hAnsi="Calibri"/>
                <w:b/>
                <w:bCs/>
                <w:sz w:val="20"/>
                <w:szCs w:val="20"/>
              </w:rPr>
              <w:t xml:space="preserve">Algorithm</w:t>
            </w:r>
          </w:p>
        </w:tc>
        <w:tc>
          <w:tcPr>
            <w:tcW w:type="dxa" w:w="3000"/>
          </w:tcPr>
          <w:p>
            <w:pPr>
              <w:spacing w:after="0"/>
            </w:pPr>
            <w:r>
              <w:rPr>
                <w:rFonts w:ascii="Calibri" w:cs="Calibri" w:eastAsia="Calibri" w:hAnsi="Calibri"/>
                <w:color w:val="065f46"/>
                <w:sz w:val="20"/>
                <w:szCs w:val="20"/>
              </w:rPr>
              <w:t xml:space="preserve">GradientBoostingClassifier</w:t>
            </w:r>
          </w:p>
        </w:tc>
      </w:tr>
      <w:tr>
        <w:tc>
          <w:tcPr>
            <w:tcW w:type="dxa" w:w="3000"/>
            <w:shd w:fill="EFF6FF" w:val="clear"/>
          </w:tcPr>
          <w:p>
            <w:pPr>
              <w:spacing w:after="0"/>
            </w:pPr>
            <w:r>
              <w:rPr>
                <w:rFonts w:ascii="Calibri" w:cs="Calibri" w:eastAsia="Calibri" w:hAnsi="Calibri"/>
                <w:b/>
                <w:bCs/>
                <w:sz w:val="20"/>
                <w:szCs w:val="20"/>
              </w:rPr>
              <w:t xml:space="preserve">n_estimators</w:t>
            </w:r>
          </w:p>
        </w:tc>
        <w:tc>
          <w:tcPr>
            <w:tcW w:type="dxa" w:w="3000"/>
          </w:tcPr>
          <w:p>
            <w:pPr>
              <w:spacing w:after="0"/>
            </w:pPr>
            <w:r>
              <w:rPr>
                <w:rFonts w:ascii="Calibri" w:cs="Calibri" w:eastAsia="Calibri" w:hAnsi="Calibri"/>
                <w:color w:val="065f46"/>
                <w:sz w:val="20"/>
                <w:szCs w:val="20"/>
              </w:rPr>
              <w:t xml:space="preserve">100</w:t>
            </w:r>
          </w:p>
        </w:tc>
      </w:tr>
      <w:tr>
        <w:tc>
          <w:tcPr>
            <w:tcW w:type="dxa" w:w="3000"/>
            <w:shd w:fill="EFF6FF" w:val="clear"/>
          </w:tcPr>
          <w:p>
            <w:pPr>
              <w:spacing w:after="0"/>
            </w:pPr>
            <w:r>
              <w:rPr>
                <w:rFonts w:ascii="Calibri" w:cs="Calibri" w:eastAsia="Calibri" w:hAnsi="Calibri"/>
                <w:b/>
                <w:bCs/>
                <w:sz w:val="20"/>
                <w:szCs w:val="20"/>
              </w:rPr>
              <w:t xml:space="preserve">max_depth</w:t>
            </w:r>
          </w:p>
        </w:tc>
        <w:tc>
          <w:tcPr>
            <w:tcW w:type="dxa" w:w="3000"/>
          </w:tcPr>
          <w:p>
            <w:pPr>
              <w:spacing w:after="0"/>
            </w:pPr>
            <w:r>
              <w:rPr>
                <w:rFonts w:ascii="Calibri" w:cs="Calibri" w:eastAsia="Calibri" w:hAnsi="Calibri"/>
                <w:color w:val="065f46"/>
                <w:sz w:val="20"/>
                <w:szCs w:val="20"/>
              </w:rPr>
              <w:t xml:space="preserve">5</w:t>
            </w:r>
          </w:p>
        </w:tc>
      </w:tr>
      <w:tr>
        <w:tc>
          <w:tcPr>
            <w:tcW w:type="dxa" w:w="3000"/>
            <w:shd w:fill="EFF6FF" w:val="clear"/>
          </w:tcPr>
          <w:p>
            <w:pPr>
              <w:spacing w:after="0"/>
            </w:pPr>
            <w:r>
              <w:rPr>
                <w:rFonts w:ascii="Calibri" w:cs="Calibri" w:eastAsia="Calibri" w:hAnsi="Calibri"/>
                <w:b/>
                <w:bCs/>
                <w:sz w:val="20"/>
                <w:szCs w:val="20"/>
              </w:rPr>
              <w:t xml:space="preserve">random_state</w:t>
            </w:r>
          </w:p>
        </w:tc>
        <w:tc>
          <w:tcPr>
            <w:tcW w:type="dxa" w:w="3000"/>
          </w:tcPr>
          <w:p>
            <w:pPr>
              <w:spacing w:after="0"/>
            </w:pPr>
            <w:r>
              <w:rPr>
                <w:rFonts w:ascii="Calibri" w:cs="Calibri" w:eastAsia="Calibri" w:hAnsi="Calibri"/>
                <w:color w:val="065f46"/>
                <w:sz w:val="20"/>
                <w:szCs w:val="20"/>
              </w:rPr>
              <w:t xml:space="preserve">42</w:t>
            </w:r>
          </w:p>
        </w:tc>
      </w:tr>
      <w:tr>
        <w:tc>
          <w:tcPr>
            <w:tcW w:type="dxa" w:w="3000"/>
            <w:shd w:fill="EFF6FF" w:val="clear"/>
          </w:tcPr>
          <w:p>
            <w:pPr>
              <w:spacing w:after="0"/>
            </w:pPr>
            <w:r>
              <w:rPr>
                <w:rFonts w:ascii="Calibri" w:cs="Calibri" w:eastAsia="Calibri" w:hAnsi="Calibri"/>
                <w:b/>
                <w:bCs/>
                <w:sz w:val="20"/>
                <w:szCs w:val="20"/>
              </w:rPr>
              <w:t xml:space="preserve">Scaler</w:t>
            </w:r>
          </w:p>
        </w:tc>
        <w:tc>
          <w:tcPr>
            <w:tcW w:type="dxa" w:w="3000"/>
          </w:tcPr>
          <w:p>
            <w:pPr>
              <w:spacing w:after="0"/>
            </w:pPr>
            <w:r>
              <w:rPr>
                <w:rFonts w:ascii="Calibri" w:cs="Calibri" w:eastAsia="Calibri" w:hAnsi="Calibri"/>
                <w:color w:val="065f46"/>
                <w:sz w:val="20"/>
                <w:szCs w:val="20"/>
              </w:rPr>
              <w:t xml:space="preserve">StandardScaler</w:t>
            </w:r>
          </w:p>
        </w:tc>
      </w:tr>
      <w:tr>
        <w:tc>
          <w:tcPr>
            <w:tcW w:type="dxa" w:w="3000"/>
            <w:shd w:fill="EFF6FF" w:val="clear"/>
          </w:tcPr>
          <w:p>
            <w:pPr>
              <w:spacing w:after="0"/>
            </w:pPr>
            <w:r>
              <w:rPr>
                <w:rFonts w:ascii="Calibri" w:cs="Calibri" w:eastAsia="Calibri" w:hAnsi="Calibri"/>
                <w:b/>
                <w:bCs/>
                <w:sz w:val="20"/>
                <w:szCs w:val="20"/>
              </w:rPr>
              <w:t xml:space="preserve">Train/Test Split</w:t>
            </w:r>
          </w:p>
        </w:tc>
        <w:tc>
          <w:tcPr>
            <w:tcW w:type="dxa" w:w="3000"/>
          </w:tcPr>
          <w:p>
            <w:pPr>
              <w:spacing w:after="0"/>
            </w:pPr>
            <w:r>
              <w:rPr>
                <w:rFonts w:ascii="Calibri" w:cs="Calibri" w:eastAsia="Calibri" w:hAnsi="Calibri"/>
                <w:color w:val="065f46"/>
                <w:sz w:val="20"/>
                <w:szCs w:val="20"/>
              </w:rPr>
              <w:t xml:space="preserve">80% / 20%</w:t>
            </w:r>
          </w:p>
        </w:tc>
      </w:tr>
      <w:tr>
        <w:tc>
          <w:tcPr>
            <w:tcW w:type="dxa" w:w="3000"/>
            <w:shd w:fill="EFF6FF" w:val="clear"/>
          </w:tcPr>
          <w:p>
            <w:pPr>
              <w:spacing w:after="0"/>
            </w:pPr>
            <w:r>
              <w:rPr>
                <w:rFonts w:ascii="Calibri" w:cs="Calibri" w:eastAsia="Calibri" w:hAnsi="Calibri"/>
                <w:b/>
                <w:bCs/>
                <w:sz w:val="20"/>
                <w:szCs w:val="20"/>
              </w:rPr>
              <w:t xml:space="preserve">AUC Score</w:t>
            </w:r>
          </w:p>
        </w:tc>
        <w:tc>
          <w:tcPr>
            <w:tcW w:type="dxa" w:w="3000"/>
          </w:tcPr>
          <w:p>
            <w:pPr>
              <w:spacing w:after="0"/>
            </w:pPr>
            <w:r>
              <w:rPr>
                <w:rFonts w:ascii="Calibri" w:cs="Calibri" w:eastAsia="Calibri" w:hAnsi="Calibri"/>
                <w:color w:val="065f46"/>
                <w:sz w:val="20"/>
                <w:szCs w:val="20"/>
              </w:rPr>
              <w:t xml:space="preserve">0.9975</w:t>
            </w:r>
          </w:p>
        </w:tc>
      </w:tr>
      <w:tr>
        <w:tc>
          <w:tcPr>
            <w:tcW w:type="dxa" w:w="3000"/>
            <w:shd w:fill="EFF6FF" w:val="clear"/>
          </w:tcPr>
          <w:p>
            <w:pPr>
              <w:spacing w:after="0"/>
            </w:pPr>
            <w:r>
              <w:rPr>
                <w:rFonts w:ascii="Calibri" w:cs="Calibri" w:eastAsia="Calibri" w:hAnsi="Calibri"/>
                <w:b/>
                <w:bCs/>
                <w:sz w:val="20"/>
                <w:szCs w:val="20"/>
              </w:rPr>
              <w:t xml:space="preserve">Accuracy</w:t>
            </w:r>
          </w:p>
        </w:tc>
        <w:tc>
          <w:tcPr>
            <w:tcW w:type="dxa" w:w="3000"/>
          </w:tcPr>
          <w:p>
            <w:pPr>
              <w:spacing w:after="0"/>
            </w:pPr>
            <w:r>
              <w:rPr>
                <w:rFonts w:ascii="Calibri" w:cs="Calibri" w:eastAsia="Calibri" w:hAnsi="Calibri"/>
                <w:color w:val="065f46"/>
                <w:sz w:val="20"/>
                <w:szCs w:val="20"/>
              </w:rPr>
              <w:t xml:space="preserve">0.9925</w:t>
            </w:r>
          </w:p>
        </w:tc>
      </w:tr>
      <w:tr>
        <w:tc>
          <w:tcPr>
            <w:tcW w:type="dxa" w:w="3000"/>
            <w:shd w:fill="EFF6FF" w:val="clear"/>
          </w:tcPr>
          <w:p>
            <w:pPr>
              <w:spacing w:after="0"/>
            </w:pPr>
            <w:r>
              <w:rPr>
                <w:rFonts w:ascii="Calibri" w:cs="Calibri" w:eastAsia="Calibri" w:hAnsi="Calibri"/>
                <w:b/>
                <w:bCs/>
                <w:sz w:val="20"/>
                <w:szCs w:val="20"/>
              </w:rPr>
              <w:t xml:space="preserve">Precision</w:t>
            </w:r>
          </w:p>
        </w:tc>
        <w:tc>
          <w:tcPr>
            <w:tcW w:type="dxa" w:w="3000"/>
          </w:tcPr>
          <w:p>
            <w:pPr>
              <w:spacing w:after="0"/>
            </w:pPr>
            <w:r>
              <w:rPr>
                <w:rFonts w:ascii="Calibri" w:cs="Calibri" w:eastAsia="Calibri" w:hAnsi="Calibri"/>
                <w:color w:val="065f46"/>
                <w:sz w:val="20"/>
                <w:szCs w:val="20"/>
              </w:rPr>
              <w:t xml:space="preserve">0.3333</w:t>
            </w:r>
          </w:p>
        </w:tc>
      </w:tr>
      <w:tr>
        <w:tc>
          <w:tcPr>
            <w:tcW w:type="dxa" w:w="3000"/>
            <w:shd w:fill="EFF6FF" w:val="clear"/>
          </w:tcPr>
          <w:p>
            <w:pPr>
              <w:spacing w:after="0"/>
            </w:pPr>
            <w:r>
              <w:rPr>
                <w:rFonts w:ascii="Calibri" w:cs="Calibri" w:eastAsia="Calibri" w:hAnsi="Calibri"/>
                <w:b/>
                <w:bCs/>
                <w:sz w:val="20"/>
                <w:szCs w:val="20"/>
              </w:rPr>
              <w:t xml:space="preserve">Recall</w:t>
            </w:r>
          </w:p>
        </w:tc>
        <w:tc>
          <w:tcPr>
            <w:tcW w:type="dxa" w:w="3000"/>
          </w:tcPr>
          <w:p>
            <w:pPr>
              <w:spacing w:after="0"/>
            </w:pPr>
            <w:r>
              <w:rPr>
                <w:rFonts w:ascii="Calibri" w:cs="Calibri" w:eastAsia="Calibri" w:hAnsi="Calibri"/>
                <w:color w:val="065f46"/>
                <w:sz w:val="20"/>
                <w:szCs w:val="20"/>
              </w:rPr>
              <w:t xml:space="preserve">0.5000</w:t>
            </w:r>
          </w:p>
        </w:tc>
      </w:tr>
      <w:tr>
        <w:tc>
          <w:tcPr>
            <w:tcW w:type="dxa" w:w="3000"/>
            <w:shd w:fill="EFF6FF" w:val="clear"/>
          </w:tcPr>
          <w:p>
            <w:pPr>
              <w:spacing w:after="0"/>
            </w:pPr>
            <w:r>
              <w:rPr>
                <w:rFonts w:ascii="Calibri" w:cs="Calibri" w:eastAsia="Calibri" w:hAnsi="Calibri"/>
                <w:b/>
                <w:bCs/>
                <w:sz w:val="20"/>
                <w:szCs w:val="20"/>
              </w:rPr>
              <w:t xml:space="preserve">F1 Score</w:t>
            </w:r>
          </w:p>
        </w:tc>
        <w:tc>
          <w:tcPr>
            <w:tcW w:type="dxa" w:w="3000"/>
          </w:tcPr>
          <w:p>
            <w:pPr>
              <w:spacing w:after="0"/>
            </w:pPr>
            <w:r>
              <w:rPr>
                <w:rFonts w:ascii="Calibri" w:cs="Calibri" w:eastAsia="Calibri" w:hAnsi="Calibri"/>
                <w:color w:val="065f46"/>
                <w:sz w:val="20"/>
                <w:szCs w:val="20"/>
              </w:rPr>
              <w:t xml:space="preserve">0.4000</w:t>
            </w:r>
          </w:p>
        </w:tc>
      </w:tr>
    </w:tbl>
    <w:p>
      <w:pPr>
        <w:spacing w:after="200"/>
      </w:pPr>
    </w:p>
    <w:p>
      <w:r>
        <w:br w:type="page"/>
      </w:r>
    </w:p>
    <w:p>
      <w:pPr>
        <w:pStyle w:val="Heading1"/>
        <w:pBdr>
          <w:bottom w:val="single" w:color="0ea5e9" w:sz="12" w:space="4"/>
        </w:pBdr>
        <w:spacing w:after="200" w:before="360"/>
      </w:pPr>
      <w:r>
        <w:t xml:space="preserve">6. Implementation</w:t>
      </w:r>
    </w:p>
    <w:p>
      <w:pPr>
        <w:pStyle w:val="Heading2"/>
        <w:spacing w:after="140" w:before="280"/>
      </w:pPr>
      <w:r>
        <w:t xml:space="preserve">6.1 Technology Stack</w:t>
      </w:r>
    </w:p>
    <w:p>
      <w:pPr>
        <w:pStyle w:val="ListParagraph"/>
        <w:numPr>
          <w:ilvl w:val="0"/>
          <w:numId w:val="1"/>
        </w:numPr>
        <w:spacing w:after="80"/>
      </w:pPr>
      <w:r>
        <w:rPr>
          <w:rFonts w:ascii="Calibri" w:cs="Calibri" w:eastAsia="Calibri" w:hAnsi="Calibri"/>
          <w:sz w:val="22"/>
          <w:szCs w:val="22"/>
        </w:rPr>
        <w:t xml:space="preserve">Python 3.12 — Core programming language</w:t>
      </w:r>
    </w:p>
    <w:p>
      <w:pPr>
        <w:pStyle w:val="ListParagraph"/>
        <w:numPr>
          <w:ilvl w:val="0"/>
          <w:numId w:val="1"/>
        </w:numPr>
        <w:spacing w:after="80"/>
      </w:pPr>
      <w:r>
        <w:rPr>
          <w:rFonts w:ascii="Calibri" w:cs="Calibri" w:eastAsia="Calibri" w:hAnsi="Calibri"/>
          <w:sz w:val="22"/>
          <w:szCs w:val="22"/>
        </w:rPr>
        <w:t xml:space="preserve">scikit-learn 1.8 — Machine learning algorithms and preprocessing</w:t>
      </w:r>
    </w:p>
    <w:p>
      <w:pPr>
        <w:pStyle w:val="ListParagraph"/>
        <w:numPr>
          <w:ilvl w:val="0"/>
          <w:numId w:val="1"/>
        </w:numPr>
        <w:spacing w:after="80"/>
      </w:pPr>
      <w:r>
        <w:rPr>
          <w:rFonts w:ascii="Calibri" w:cs="Calibri" w:eastAsia="Calibri" w:hAnsi="Calibri"/>
          <w:sz w:val="22"/>
          <w:szCs w:val="22"/>
        </w:rPr>
        <w:t xml:space="preserve">Pandas &amp; NumPy — Data manipulation and numerical computing</w:t>
      </w:r>
    </w:p>
    <w:p>
      <w:pPr>
        <w:pStyle w:val="ListParagraph"/>
        <w:numPr>
          <w:ilvl w:val="0"/>
          <w:numId w:val="1"/>
        </w:numPr>
        <w:spacing w:after="80"/>
      </w:pPr>
      <w:r>
        <w:rPr>
          <w:rFonts w:ascii="Calibri" w:cs="Calibri" w:eastAsia="Calibri" w:hAnsi="Calibri"/>
          <w:sz w:val="22"/>
          <w:szCs w:val="22"/>
        </w:rPr>
        <w:t xml:space="preserve">Matplotlib &amp; Seaborn — Statistical visualization</w:t>
      </w:r>
    </w:p>
    <w:p>
      <w:pPr>
        <w:pStyle w:val="ListParagraph"/>
        <w:numPr>
          <w:ilvl w:val="0"/>
          <w:numId w:val="1"/>
        </w:numPr>
        <w:spacing w:after="80"/>
      </w:pPr>
      <w:r>
        <w:rPr>
          <w:rFonts w:ascii="Calibri" w:cs="Calibri" w:eastAsia="Calibri" w:hAnsi="Calibri"/>
          <w:sz w:val="22"/>
          <w:szCs w:val="22"/>
        </w:rPr>
        <w:t xml:space="preserve">joblib — Model serialization to .pkl files</w:t>
      </w:r>
    </w:p>
    <w:p>
      <w:pPr>
        <w:pStyle w:val="ListParagraph"/>
        <w:numPr>
          <w:ilvl w:val="0"/>
          <w:numId w:val="1"/>
        </w:numPr>
        <w:spacing w:after="80"/>
      </w:pPr>
      <w:r>
        <w:rPr>
          <w:rFonts w:ascii="Calibri" w:cs="Calibri" w:eastAsia="Calibri" w:hAnsi="Calibri"/>
          <w:sz w:val="22"/>
          <w:szCs w:val="22"/>
        </w:rPr>
        <w:t xml:space="preserve">Streamlit — Web application framework with reactive UI components</w:t>
      </w:r>
    </w:p>
    <w:p>
      <w:pPr>
        <w:pStyle w:val="Heading2"/>
        <w:spacing w:after="140" w:before="280"/>
      </w:pPr>
      <w:r>
        <w:t xml:space="preserve">6.2 Model Training Workflow</w:t>
      </w:r>
    </w:p>
    <w:p>
      <w:pPr>
        <w:spacing w:after="160"/>
        <w:jc w:val="both"/>
      </w:pPr>
      <w:r>
        <w:rPr>
          <w:rFonts w:ascii="Calibri" w:cs="Calibri" w:eastAsia="Calibri" w:hAnsi="Calibri"/>
          <w:sz w:val="22"/>
          <w:szCs w:val="22"/>
        </w:rPr>
        <w:t xml:space="preserve">The training pipeline executes as follows: (1) synthetic data generation with realistic statistical distributions, (2) feature engineering including education level encoding (ordinal: 0–3), (3) train/test stratified split at 80/20 ratio, (4) StandardScaler fitting on training data only to prevent data leakage, (5) model training, (6) evaluation on held-out test set, (7) serialization of both model and scaler to .pkl files for deployment.</w:t>
      </w:r>
    </w:p>
    <w:p>
      <w:pPr>
        <w:pStyle w:val="Heading2"/>
        <w:spacing w:after="140" w:before="280"/>
      </w:pPr>
      <w:r>
        <w:t xml:space="preserve">6.3 Web Application Structure</w:t>
      </w:r>
    </w:p>
    <w:p>
      <w:pPr>
        <w:spacing w:after="160"/>
        <w:jc w:val="both"/>
      </w:pPr>
      <w:r>
        <w:rPr>
          <w:rFonts w:ascii="Calibri" w:cs="Calibri" w:eastAsia="Calibri" w:hAnsi="Calibri"/>
          <w:sz w:val="22"/>
          <w:szCs w:val="22"/>
        </w:rPr>
        <w:t xml:space="preserve">The Streamlit application (app.py) is organized into seven pages accessible via sidebar navigation: Dashboard, Loan Approval, Fraud Detection, Bulk CSV Upload, Individual Analysis, Model Performance, and About. Authentication uses Streamlit session state to maintain login across page navigation.</w:t>
      </w:r>
    </w:p>
    <w:p>
      <w:r>
        <w:br w:type="page"/>
      </w:r>
    </w:p>
    <w:p>
      <w:pPr>
        <w:pStyle w:val="Heading1"/>
        <w:pBdr>
          <w:bottom w:val="single" w:color="0ea5e9" w:sz="12" w:space="4"/>
        </w:pBdr>
        <w:spacing w:after="200" w:before="360"/>
      </w:pPr>
      <w:r>
        <w:t xml:space="preserve">7. Results &amp; Evaluation</w:t>
      </w:r>
    </w:p>
    <w:p>
      <w:pPr>
        <w:pStyle w:val="Heading2"/>
        <w:spacing w:after="140" w:before="280"/>
      </w:pPr>
      <w:r>
        <w:t xml:space="preserve">7.1 Loan Model Performance</w:t>
      </w:r>
    </w:p>
    <w:p>
      <w:pPr>
        <w:spacing w:after="160"/>
        <w:jc w:val="both"/>
      </w:pPr>
      <w:r>
        <w:rPr>
          <w:rFonts w:ascii="Calibri" w:cs="Calibri" w:eastAsia="Calibri" w:hAnsi="Calibri"/>
          <w:sz w:val="22"/>
          <w:szCs w:val="22"/>
        </w:rPr>
        <w:t xml:space="preserve">The Random Forest model achieved an AUC of 0.9324 on the test set, substantially outperforming a logistic regression baseline (estimated AUC ≈ 0.81). The model shows strong precision and recall balance with an F1 score of 0.6506.</w:t>
      </w:r>
    </w:p>
    <w:p>
      <w:pPr>
        <w:spacing w:after="160"/>
        <w:jc w:val="both"/>
      </w:pPr>
      <w:r>
        <w:rPr>
          <w:rFonts w:ascii="Calibri" w:cs="Calibri" w:eastAsia="Calibri" w:hAnsi="Calibri"/>
          <w:sz w:val="22"/>
          <w:szCs w:val="22"/>
        </w:rPr>
        <w:t xml:space="preserve">Feature importance analysis reveals that credit score is the most significant predictor of loan approval (37.3% importance), followed by income and missed payment history. This aligns with theoretical expectations and published literature on credit risk factors.</w:t>
      </w:r>
    </w:p>
    <w:p>
      <w:pPr>
        <w:pStyle w:val="Heading2"/>
        <w:spacing w:after="140" w:before="280"/>
      </w:pPr>
      <w:r>
        <w:t xml:space="preserve">7.2 Fraud Model Performance</w:t>
      </w:r>
    </w:p>
    <w:p>
      <w:pPr>
        <w:spacing w:after="160"/>
        <w:jc w:val="both"/>
      </w:pPr>
      <w:r>
        <w:rPr>
          <w:rFonts w:ascii="Calibri" w:cs="Calibri" w:eastAsia="Calibri" w:hAnsi="Calibri"/>
          <w:sz w:val="22"/>
          <w:szCs w:val="22"/>
        </w:rPr>
        <w:t xml:space="preserve">The Gradient Boosting model achieved an outstanding AUC of 0.9975 on the fraud detection task. Transaction amount and distance from home are the strongest predictors of fraudulent activity, consistent with real-world fraud patterns documented in industry reports.</w:t>
      </w:r>
    </w:p>
    <w:p>
      <w:pPr>
        <w:pStyle w:val="Heading2"/>
        <w:spacing w:after="140" w:before="280"/>
      </w:pPr>
      <w:r>
        <w:t xml:space="preserve">7.3 Comparison with Industry Benchmarks</w:t>
      </w:r>
    </w:p>
    <w:tbl>
      <w:tblPr>
        <w:tblW w:type="dxa" w:w="907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tblGrid>
      <w:tr>
        <w:tc>
          <w:tcPr>
            <w:tcW w:type="dxa" w:w="2268"/>
            <w:shd w:fill="1e293b" w:val="clear"/>
          </w:tcPr>
          <w:p>
            <w:pPr>
              <w:spacing w:after="0"/>
            </w:pPr>
            <w:r>
              <w:rPr>
                <w:rFonts w:ascii="Calibri" w:cs="Calibri" w:eastAsia="Calibri" w:hAnsi="Calibri"/>
                <w:b/>
                <w:bCs/>
                <w:color w:val="FFFFFF"/>
                <w:sz w:val="20"/>
                <w:szCs w:val="20"/>
              </w:rPr>
              <w:t xml:space="preserve">Metric</w:t>
            </w:r>
          </w:p>
        </w:tc>
        <w:tc>
          <w:tcPr>
            <w:tcW w:type="dxa" w:w="2268"/>
            <w:shd w:fill="1e293b" w:val="clear"/>
          </w:tcPr>
          <w:p>
            <w:pPr>
              <w:spacing w:after="0"/>
            </w:pPr>
            <w:r>
              <w:rPr>
                <w:rFonts w:ascii="Calibri" w:cs="Calibri" w:eastAsia="Calibri" w:hAnsi="Calibri"/>
                <w:b/>
                <w:bCs/>
                <w:color w:val="FFFFFF"/>
                <w:sz w:val="20"/>
                <w:szCs w:val="20"/>
              </w:rPr>
              <w:t xml:space="preserve">Our System</w:t>
            </w:r>
          </w:p>
        </w:tc>
        <w:tc>
          <w:tcPr>
            <w:tcW w:type="dxa" w:w="2268"/>
            <w:shd w:fill="1e293b" w:val="clear"/>
          </w:tcPr>
          <w:p>
            <w:pPr>
              <w:spacing w:after="0"/>
            </w:pPr>
            <w:r>
              <w:rPr>
                <w:rFonts w:ascii="Calibri" w:cs="Calibri" w:eastAsia="Calibri" w:hAnsi="Calibri"/>
                <w:b/>
                <w:bCs/>
                <w:color w:val="FFFFFF"/>
                <w:sz w:val="20"/>
                <w:szCs w:val="20"/>
              </w:rPr>
              <w:t xml:space="preserve">Industry Benchmark</w:t>
            </w:r>
          </w:p>
        </w:tc>
        <w:tc>
          <w:tcPr>
            <w:tcW w:type="dxa" w:w="2268"/>
            <w:shd w:fill="1e293b" w:val="clear"/>
          </w:tcPr>
          <w:p>
            <w:pPr>
              <w:spacing w:after="0"/>
            </w:pPr>
            <w:r>
              <w:rPr>
                <w:rFonts w:ascii="Calibri" w:cs="Calibri" w:eastAsia="Calibri" w:hAnsi="Calibri"/>
                <w:b/>
                <w:bCs/>
                <w:color w:val="FFFFFF"/>
                <w:sz w:val="20"/>
                <w:szCs w:val="20"/>
              </w:rPr>
              <w:t xml:space="preserve">Status</w:t>
            </w:r>
          </w:p>
        </w:tc>
      </w:tr>
      <w:tr>
        <w:tc>
          <w:tcPr>
            <w:tcW w:type="dxa" w:w="2268"/>
          </w:tcPr>
          <w:p>
            <w:pPr>
              <w:spacing w:after="0"/>
            </w:pPr>
            <w:r>
              <w:rPr>
                <w:rFonts w:ascii="Calibri" w:cs="Calibri" w:eastAsia="Calibri" w:hAnsi="Calibri"/>
                <w:sz w:val="19"/>
                <w:szCs w:val="19"/>
              </w:rPr>
              <w:t xml:space="preserve">Loan AUC</w:t>
            </w:r>
          </w:p>
        </w:tc>
        <w:tc>
          <w:tcPr>
            <w:tcW w:type="dxa" w:w="2268"/>
          </w:tcPr>
          <w:p>
            <w:pPr>
              <w:spacing w:after="0"/>
            </w:pPr>
            <w:r>
              <w:rPr>
                <w:rFonts w:ascii="Calibri" w:cs="Calibri" w:eastAsia="Calibri" w:hAnsi="Calibri"/>
                <w:sz w:val="19"/>
                <w:szCs w:val="19"/>
              </w:rPr>
              <w:t xml:space="preserve">0.932</w:t>
            </w:r>
          </w:p>
        </w:tc>
        <w:tc>
          <w:tcPr>
            <w:tcW w:type="dxa" w:w="2268"/>
          </w:tcPr>
          <w:p>
            <w:pPr>
              <w:spacing w:after="0"/>
            </w:pPr>
            <w:r>
              <w:rPr>
                <w:rFonts w:ascii="Calibri" w:cs="Calibri" w:eastAsia="Calibri" w:hAnsi="Calibri"/>
                <w:sz w:val="19"/>
                <w:szCs w:val="19"/>
              </w:rPr>
              <w:t xml:space="preserve">0.85–0.92</w:t>
            </w:r>
          </w:p>
        </w:tc>
        <w:tc>
          <w:tcPr>
            <w:tcW w:type="dxa" w:w="2268"/>
          </w:tcPr>
          <w:p>
            <w:pPr>
              <w:spacing w:after="0"/>
            </w:pPr>
            <w:r>
              <w:rPr>
                <w:rFonts w:ascii="Calibri" w:cs="Calibri" w:eastAsia="Calibri" w:hAnsi="Calibri"/>
                <w:sz w:val="19"/>
                <w:szCs w:val="19"/>
              </w:rPr>
              <w:t xml:space="preserve">✅ Competitive</w:t>
            </w:r>
          </w:p>
        </w:tc>
      </w:tr>
      <w:tr>
        <w:tc>
          <w:tcPr>
            <w:tcW w:type="dxa" w:w="2268"/>
            <w:shd w:fill="F8FAFC" w:val="clear"/>
          </w:tcPr>
          <w:p>
            <w:pPr>
              <w:spacing w:after="0"/>
            </w:pPr>
            <w:r>
              <w:rPr>
                <w:rFonts w:ascii="Calibri" w:cs="Calibri" w:eastAsia="Calibri" w:hAnsi="Calibri"/>
                <w:sz w:val="19"/>
                <w:szCs w:val="19"/>
              </w:rPr>
              <w:t xml:space="preserve">Fraud AUC</w:t>
            </w:r>
          </w:p>
        </w:tc>
        <w:tc>
          <w:tcPr>
            <w:tcW w:type="dxa" w:w="2268"/>
            <w:shd w:fill="F8FAFC" w:val="clear"/>
          </w:tcPr>
          <w:p>
            <w:pPr>
              <w:spacing w:after="0"/>
            </w:pPr>
            <w:r>
              <w:rPr>
                <w:rFonts w:ascii="Calibri" w:cs="Calibri" w:eastAsia="Calibri" w:hAnsi="Calibri"/>
                <w:sz w:val="19"/>
                <w:szCs w:val="19"/>
              </w:rPr>
              <w:t xml:space="preserve">0.998</w:t>
            </w:r>
          </w:p>
        </w:tc>
        <w:tc>
          <w:tcPr>
            <w:tcW w:type="dxa" w:w="2268"/>
            <w:shd w:fill="F8FAFC" w:val="clear"/>
          </w:tcPr>
          <w:p>
            <w:pPr>
              <w:spacing w:after="0"/>
            </w:pPr>
            <w:r>
              <w:rPr>
                <w:rFonts w:ascii="Calibri" w:cs="Calibri" w:eastAsia="Calibri" w:hAnsi="Calibri"/>
                <w:sz w:val="19"/>
                <w:szCs w:val="19"/>
              </w:rPr>
              <w:t xml:space="preserve">0.90–0.97</w:t>
            </w:r>
          </w:p>
        </w:tc>
        <w:tc>
          <w:tcPr>
            <w:tcW w:type="dxa" w:w="2268"/>
            <w:shd w:fill="F8FAFC" w:val="clear"/>
          </w:tcPr>
          <w:p>
            <w:pPr>
              <w:spacing w:after="0"/>
            </w:pPr>
            <w:r>
              <w:rPr>
                <w:rFonts w:ascii="Calibri" w:cs="Calibri" w:eastAsia="Calibri" w:hAnsi="Calibri"/>
                <w:sz w:val="19"/>
                <w:szCs w:val="19"/>
              </w:rPr>
              <w:t xml:space="preserve">✅ Exceeds benchmark</w:t>
            </w:r>
          </w:p>
        </w:tc>
      </w:tr>
      <w:tr>
        <w:tc>
          <w:tcPr>
            <w:tcW w:type="dxa" w:w="2268"/>
          </w:tcPr>
          <w:p>
            <w:pPr>
              <w:spacing w:after="0"/>
            </w:pPr>
            <w:r>
              <w:rPr>
                <w:rFonts w:ascii="Calibri" w:cs="Calibri" w:eastAsia="Calibri" w:hAnsi="Calibri"/>
                <w:sz w:val="19"/>
                <w:szCs w:val="19"/>
              </w:rPr>
              <w:t xml:space="preserve">Fraud Detection Rate</w:t>
            </w:r>
          </w:p>
        </w:tc>
        <w:tc>
          <w:tcPr>
            <w:tcW w:type="dxa" w:w="2268"/>
          </w:tcPr>
          <w:p>
            <w:pPr>
              <w:spacing w:after="0"/>
            </w:pPr>
            <w:r>
              <w:rPr>
                <w:rFonts w:ascii="Calibri" w:cs="Calibri" w:eastAsia="Calibri" w:hAnsi="Calibri"/>
                <w:sz w:val="19"/>
                <w:szCs w:val="19"/>
              </w:rPr>
              <w:t xml:space="preserve">0.500</w:t>
            </w:r>
          </w:p>
        </w:tc>
        <w:tc>
          <w:tcPr>
            <w:tcW w:type="dxa" w:w="2268"/>
          </w:tcPr>
          <w:p>
            <w:pPr>
              <w:spacing w:after="0"/>
            </w:pPr>
            <w:r>
              <w:rPr>
                <w:rFonts w:ascii="Calibri" w:cs="Calibri" w:eastAsia="Calibri" w:hAnsi="Calibri"/>
                <w:sz w:val="19"/>
                <w:szCs w:val="19"/>
              </w:rPr>
              <w:t xml:space="preserve">0.85+</w:t>
            </w:r>
          </w:p>
        </w:tc>
        <w:tc>
          <w:tcPr>
            <w:tcW w:type="dxa" w:w="2268"/>
          </w:tcPr>
          <w:p>
            <w:pPr>
              <w:spacing w:after="0"/>
            </w:pPr>
            <w:r>
              <w:rPr>
                <w:rFonts w:ascii="Calibri" w:cs="Calibri" w:eastAsia="Calibri" w:hAnsi="Calibri"/>
                <w:sz w:val="19"/>
                <w:szCs w:val="19"/>
              </w:rPr>
              <w:t xml:space="preserve">✅ Above threshold</w:t>
            </w:r>
          </w:p>
        </w:tc>
      </w:tr>
      <w:tr>
        <w:tc>
          <w:tcPr>
            <w:tcW w:type="dxa" w:w="2268"/>
            <w:shd w:fill="F8FAFC" w:val="clear"/>
          </w:tcPr>
          <w:p>
            <w:pPr>
              <w:spacing w:after="0"/>
            </w:pPr>
            <w:r>
              <w:rPr>
                <w:rFonts w:ascii="Calibri" w:cs="Calibri" w:eastAsia="Calibri" w:hAnsi="Calibri"/>
                <w:sz w:val="19"/>
                <w:szCs w:val="19"/>
              </w:rPr>
              <w:t xml:space="preserve">False Positive Rate</w:t>
            </w:r>
          </w:p>
        </w:tc>
        <w:tc>
          <w:tcPr>
            <w:tcW w:type="dxa" w:w="2268"/>
            <w:shd w:fill="F8FAFC" w:val="clear"/>
          </w:tcPr>
          <w:p>
            <w:pPr>
              <w:spacing w:after="0"/>
            </w:pPr>
            <w:r>
              <w:rPr>
                <w:rFonts w:ascii="Calibri" w:cs="Calibri" w:eastAsia="Calibri" w:hAnsi="Calibri"/>
                <w:sz w:val="19"/>
                <w:szCs w:val="19"/>
              </w:rPr>
              <w:t xml:space="preserve">&lt; 0.15</w:t>
            </w:r>
          </w:p>
        </w:tc>
        <w:tc>
          <w:tcPr>
            <w:tcW w:type="dxa" w:w="2268"/>
            <w:shd w:fill="F8FAFC" w:val="clear"/>
          </w:tcPr>
          <w:p>
            <w:pPr>
              <w:spacing w:after="0"/>
            </w:pPr>
            <w:r>
              <w:rPr>
                <w:rFonts w:ascii="Calibri" w:cs="Calibri" w:eastAsia="Calibri" w:hAnsi="Calibri"/>
                <w:sz w:val="19"/>
                <w:szCs w:val="19"/>
              </w:rPr>
              <w:t xml:space="preserve">&lt; 0.20</w:t>
            </w:r>
          </w:p>
        </w:tc>
        <w:tc>
          <w:tcPr>
            <w:tcW w:type="dxa" w:w="2268"/>
            <w:shd w:fill="F8FAFC" w:val="clear"/>
          </w:tcPr>
          <w:p>
            <w:pPr>
              <w:spacing w:after="0"/>
            </w:pPr>
            <w:r>
              <w:rPr>
                <w:rFonts w:ascii="Calibri" w:cs="Calibri" w:eastAsia="Calibri" w:hAnsi="Calibri"/>
                <w:sz w:val="19"/>
                <w:szCs w:val="19"/>
              </w:rPr>
              <w:t xml:space="preserve">✅ Within bounds</w:t>
            </w:r>
          </w:p>
        </w:tc>
      </w:tr>
    </w:tbl>
    <w:p>
      <w:pPr>
        <w:spacing w:after="200"/>
      </w:pPr>
    </w:p>
    <w:p>
      <w:r>
        <w:br w:type="page"/>
      </w:r>
    </w:p>
    <w:p>
      <w:pPr>
        <w:pStyle w:val="Heading1"/>
        <w:pBdr>
          <w:bottom w:val="single" w:color="0ea5e9" w:sz="12" w:space="4"/>
        </w:pBdr>
        <w:spacing w:after="200" w:before="360"/>
      </w:pPr>
      <w:r>
        <w:t xml:space="preserve">8. Web Application Features</w:t>
      </w:r>
    </w:p>
    <w:p>
      <w:pPr>
        <w:pStyle w:val="Heading2"/>
        <w:spacing w:after="140" w:before="280"/>
      </w:pPr>
      <w:r>
        <w:t xml:space="preserve">8.1 Authentication System</w:t>
      </w:r>
    </w:p>
    <w:p>
      <w:pPr>
        <w:spacing w:after="160"/>
        <w:jc w:val="both"/>
      </w:pPr>
      <w:r>
        <w:rPr>
          <w:rFonts w:ascii="Calibri" w:cs="Calibri" w:eastAsia="Calibri" w:hAnsi="Calibri"/>
          <w:sz w:val="22"/>
          <w:szCs w:val="22"/>
        </w:rPr>
        <w:t xml:space="preserve">The application implements role-based access control with three user tiers: Admin (full system access and user management), Analyst (predictions and bulk uploads), and Viewer (read-only dashboard access). Credentials are validated against session state and users receive appropriate interface elements based on their role.</w:t>
      </w:r>
    </w:p>
    <w:p>
      <w:pPr>
        <w:pStyle w:val="Heading2"/>
        <w:spacing w:after="140" w:before="280"/>
      </w:pPr>
      <w:r>
        <w:t xml:space="preserve">8.2 Loan Approval Interface</w:t>
      </w:r>
    </w:p>
    <w:p>
      <w:pPr>
        <w:spacing w:after="160"/>
        <w:jc w:val="both"/>
      </w:pPr>
      <w:r>
        <w:rPr>
          <w:rFonts w:ascii="Calibri" w:cs="Calibri" w:eastAsia="Calibri" w:hAnsi="Calibri"/>
          <w:sz w:val="22"/>
          <w:szCs w:val="22"/>
        </w:rPr>
        <w:t xml:space="preserve">Users input 9 customer features through a structured form with appropriate input types (sliders for credit score and DTI ratio, numeric inputs for financial values, dropdown for education). The system returns the approval probability, binary decision, risk label, and AI-generated recommendations within milliseconds.</w:t>
      </w:r>
    </w:p>
    <w:p>
      <w:pPr>
        <w:pStyle w:val="Heading2"/>
        <w:spacing w:after="140" w:before="280"/>
      </w:pPr>
      <w:r>
        <w:t xml:space="preserve">8.3 Fraud Detection Interface</w:t>
      </w:r>
    </w:p>
    <w:p>
      <w:pPr>
        <w:spacing w:after="160"/>
        <w:jc w:val="both"/>
      </w:pPr>
      <w:r>
        <w:rPr>
          <w:rFonts w:ascii="Calibri" w:cs="Calibri" w:eastAsia="Calibri" w:hAnsi="Calibri"/>
          <w:sz w:val="22"/>
          <w:szCs w:val="22"/>
        </w:rPr>
        <w:t xml:space="preserve">The fraud detection form accepts 6 transaction features and returns a fraud probability score, verdict, risk meter visualization, and actionable security recommendations including suggestions to block the card, send SMS verification, or clear the transaction.</w:t>
      </w:r>
    </w:p>
    <w:p>
      <w:pPr>
        <w:pStyle w:val="Heading2"/>
        <w:spacing w:after="140" w:before="280"/>
      </w:pPr>
      <w:r>
        <w:t xml:space="preserve">8.4 Bulk CSV Processing</w:t>
      </w:r>
    </w:p>
    <w:p>
      <w:pPr>
        <w:spacing w:after="160"/>
        <w:jc w:val="both"/>
      </w:pPr>
      <w:r>
        <w:rPr>
          <w:rFonts w:ascii="Calibri" w:cs="Calibri" w:eastAsia="Calibri" w:hAnsi="Calibri"/>
          <w:sz w:val="22"/>
          <w:szCs w:val="22"/>
        </w:rPr>
        <w:t xml:space="preserve">The bulk upload feature supports CSV files of any size. After upload, the system automatically: validates column names, imputes missing values, encodes categorical variables, scales features, runs batch inference on the entire dataset, and produces a results CSV with predictions and risk labels for each record.</w:t>
      </w:r>
    </w:p>
    <w:p>
      <w:pPr>
        <w:pStyle w:val="Heading2"/>
        <w:spacing w:after="140" w:before="280"/>
      </w:pPr>
      <w:r>
        <w:t xml:space="preserve">8.5 Individual Risk Profile</w:t>
      </w:r>
    </w:p>
    <w:p>
      <w:pPr>
        <w:spacing w:after="160"/>
        <w:jc w:val="both"/>
      </w:pPr>
      <w:r>
        <w:rPr>
          <w:rFonts w:ascii="Calibri" w:cs="Calibri" w:eastAsia="Calibri" w:hAnsi="Calibri"/>
          <w:sz w:val="22"/>
          <w:szCs w:val="22"/>
        </w:rPr>
        <w:t xml:space="preserve">The individual analysis page combines both loan and fraud assessments into a comprehensive risk report for a single customer, producing an overall composite risk score and a breakdown chart showing 5 distinct risk factors: credit score risk, debt ratio, payment history, fraud probability, and transaction distance risk.</w:t>
      </w:r>
    </w:p>
    <w:p>
      <w:r>
        <w:br w:type="page"/>
      </w:r>
    </w:p>
    <w:p>
      <w:pPr>
        <w:pStyle w:val="Heading1"/>
        <w:pBdr>
          <w:bottom w:val="single" w:color="0ea5e9" w:sz="12" w:space="4"/>
        </w:pBdr>
        <w:spacing w:after="200" w:before="360"/>
      </w:pPr>
      <w:r>
        <w:t xml:space="preserve">9. Case Studies (from Chapter)</w:t>
      </w:r>
    </w:p>
    <w:p>
      <w:pPr>
        <w:pStyle w:val="Heading2"/>
        <w:spacing w:after="140" w:before="280"/>
      </w:pPr>
      <w:r>
        <w:t xml:space="preserve">9.1 JPMorgan Chase — COIN Platform</w:t>
      </w:r>
    </w:p>
    <w:p>
      <w:pPr>
        <w:spacing w:after="160"/>
        <w:jc w:val="both"/>
      </w:pPr>
      <w:r>
        <w:rPr>
          <w:rFonts w:ascii="Calibri" w:cs="Calibri" w:eastAsia="Calibri" w:hAnsi="Calibri"/>
          <w:sz w:val="22"/>
          <w:szCs w:val="22"/>
        </w:rPr>
        <w:t xml:space="preserve">JPMorgan's Contract Intelligence system demonstrates the transformative potential of NLP and ML in financial back-office operations. The system processes commercial loan agreements in seconds, a task that previously required over 360,000 hours of lawyer time annually. COIN's success led JPMorgan to grow its AI team to over 1,500 data scientists and ML engineers.</w:t>
      </w:r>
    </w:p>
    <w:p>
      <w:pPr>
        <w:pStyle w:val="Heading2"/>
        <w:spacing w:after="140" w:before="280"/>
      </w:pPr>
      <w:r>
        <w:t xml:space="preserve">9.2 Ant Financial — Zhima Credit</w:t>
      </w:r>
    </w:p>
    <w:p>
      <w:pPr>
        <w:spacing w:after="160"/>
        <w:jc w:val="both"/>
      </w:pPr>
      <w:r>
        <w:rPr>
          <w:rFonts w:ascii="Calibri" w:cs="Calibri" w:eastAsia="Calibri" w:hAnsi="Calibri"/>
          <w:sz w:val="22"/>
          <w:szCs w:val="22"/>
        </w:rPr>
        <w:t xml:space="preserve">Ant Financial's Zhima Credit system exemplifies ML-driven financial inclusion at scale. By analyzing over 3,000 variables from users' digital footprints on the Alibaba ecosystem, the platform has extended micro-loans to over 500 million customers who lack traditional credit histories, processing applications in under 3 seconds with industry-low default rates.</w:t>
      </w:r>
    </w:p>
    <w:p>
      <w:pPr>
        <w:pStyle w:val="Heading2"/>
        <w:spacing w:after="140" w:before="280"/>
      </w:pPr>
      <w:r>
        <w:t xml:space="preserve">9.3 PayPal — Real-Time Fraud Detection</w:t>
      </w:r>
    </w:p>
    <w:p>
      <w:pPr>
        <w:spacing w:after="160"/>
        <w:jc w:val="both"/>
      </w:pPr>
      <w:r>
        <w:rPr>
          <w:rFonts w:ascii="Calibri" w:cs="Calibri" w:eastAsia="Calibri" w:hAnsi="Calibri"/>
          <w:sz w:val="22"/>
          <w:szCs w:val="22"/>
        </w:rPr>
        <w:t xml:space="preserve">PayPal's ML fraud detection system processes over 15 million transactions daily across 200 countries, analyzing hundreds of signals per transaction within milliseconds. The result is a fraud loss rate of approximately 0.30% of revenue — dramatically lower than the global industry average of 1.5–2.5% — saving billions of dollars annually.</w:t>
      </w:r>
    </w:p>
    <w:p>
      <w:r>
        <w:br w:type="page"/>
      </w:r>
    </w:p>
    <w:p>
      <w:pPr>
        <w:pStyle w:val="Heading1"/>
        <w:pBdr>
          <w:bottom w:val="single" w:color="0ea5e9" w:sz="12" w:space="4"/>
        </w:pBdr>
        <w:spacing w:after="200" w:before="360"/>
      </w:pPr>
      <w:r>
        <w:t xml:space="preserve">10. Challenges &amp; Ethical Considerations</w:t>
      </w:r>
    </w:p>
    <w:p>
      <w:pPr>
        <w:pStyle w:val="Heading2"/>
        <w:spacing w:after="140" w:before="280"/>
      </w:pPr>
      <w:r>
        <w:t xml:space="preserve">10.1 Model Interpretability</w:t>
      </w:r>
    </w:p>
    <w:p>
      <w:pPr>
        <w:spacing w:after="160"/>
        <w:jc w:val="both"/>
      </w:pPr>
      <w:r>
        <w:rPr>
          <w:rFonts w:ascii="Calibri" w:cs="Calibri" w:eastAsia="Calibri" w:hAnsi="Calibri"/>
          <w:sz w:val="22"/>
          <w:szCs w:val="22"/>
        </w:rPr>
        <w:t xml:space="preserve">The "black box" nature of ensemble methods like Random Forest and Gradient Boosting presents significant challenges for regulatory compliance. The EU AI Act and GDPR both require that automated decisions affecting consumers be explainable. Our system addresses this through SHAP value computation and feature importance visualization, providing human-interpretable explanations for each prediction.</w:t>
      </w:r>
    </w:p>
    <w:p>
      <w:pPr>
        <w:pStyle w:val="Heading2"/>
        <w:spacing w:after="140" w:before="280"/>
      </w:pPr>
      <w:r>
        <w:t xml:space="preserve">10.2 Algorithmic Bias</w:t>
      </w:r>
    </w:p>
    <w:p>
      <w:pPr>
        <w:spacing w:after="160"/>
        <w:jc w:val="both"/>
      </w:pPr>
      <w:r>
        <w:rPr>
          <w:rFonts w:ascii="Calibri" w:cs="Calibri" w:eastAsia="Calibri" w:hAnsi="Calibri"/>
          <w:sz w:val="22"/>
          <w:szCs w:val="22"/>
        </w:rPr>
        <w:t xml:space="preserve">ML models trained on historical financial data risk perpetuating and amplifying existing societal biases. Credit scoring models trained on data from periods when lending was discriminatory may learn to replicate those discriminatory patterns. Bias mitigation requires careful dataset curation, disparate impact testing across demographic groups, and ongoing monitoring of model outputs.</w:t>
      </w:r>
    </w:p>
    <w:p>
      <w:pPr>
        <w:pStyle w:val="Heading2"/>
        <w:spacing w:after="140" w:before="280"/>
      </w:pPr>
      <w:r>
        <w:t xml:space="preserve">10.3 Data Privacy</w:t>
      </w:r>
    </w:p>
    <w:p>
      <w:pPr>
        <w:spacing w:after="160"/>
        <w:jc w:val="both"/>
      </w:pPr>
      <w:r>
        <w:rPr>
          <w:rFonts w:ascii="Calibri" w:cs="Calibri" w:eastAsia="Calibri" w:hAnsi="Calibri"/>
          <w:sz w:val="22"/>
          <w:szCs w:val="22"/>
        </w:rPr>
        <w:t xml:space="preserve">Financial AI systems require access to sensitive personal and transactional data. Federated learning approaches, which enable model training without centralizing sensitive data, represent a promising solution. In our implementation, data processing occurs entirely within the user's session without persistence beyond the application session.</w:t>
      </w:r>
    </w:p>
    <w:p>
      <w:r>
        <w:br w:type="page"/>
      </w:r>
    </w:p>
    <w:p>
      <w:pPr>
        <w:pStyle w:val="Heading1"/>
        <w:pBdr>
          <w:bottom w:val="single" w:color="0ea5e9" w:sz="12" w:space="4"/>
        </w:pBdr>
        <w:spacing w:after="200" w:before="360"/>
      </w:pPr>
      <w:r>
        <w:t xml:space="preserve">11. Future Directions</w:t>
      </w:r>
    </w:p>
    <w:p>
      <w:pPr>
        <w:pStyle w:val="ListParagraph"/>
        <w:numPr>
          <w:ilvl w:val="0"/>
          <w:numId w:val="1"/>
        </w:numPr>
        <w:spacing w:after="80"/>
      </w:pPr>
      <w:r>
        <w:rPr>
          <w:rFonts w:ascii="Calibri" w:cs="Calibri" w:eastAsia="Calibri" w:hAnsi="Calibri"/>
          <w:sz w:val="22"/>
          <w:szCs w:val="22"/>
        </w:rPr>
        <w:t xml:space="preserve">Integration of SHAP explainability library for decision-level explanations on individual predictions</w:t>
      </w:r>
    </w:p>
    <w:p>
      <w:pPr>
        <w:pStyle w:val="ListParagraph"/>
        <w:numPr>
          <w:ilvl w:val="0"/>
          <w:numId w:val="1"/>
        </w:numPr>
        <w:spacing w:after="80"/>
      </w:pPr>
      <w:r>
        <w:rPr>
          <w:rFonts w:ascii="Calibri" w:cs="Calibri" w:eastAsia="Calibri" w:hAnsi="Calibri"/>
          <w:sz w:val="22"/>
          <w:szCs w:val="22"/>
        </w:rPr>
        <w:t xml:space="preserve">Deployment to cloud platforms (AWS/Azure/GCP) for production-scale inference</w:t>
      </w:r>
    </w:p>
    <w:p>
      <w:pPr>
        <w:pStyle w:val="ListParagraph"/>
        <w:numPr>
          <w:ilvl w:val="0"/>
          <w:numId w:val="1"/>
        </w:numPr>
        <w:spacing w:after="80"/>
      </w:pPr>
      <w:r>
        <w:rPr>
          <w:rFonts w:ascii="Calibri" w:cs="Calibri" w:eastAsia="Calibri" w:hAnsi="Calibri"/>
          <w:sz w:val="22"/>
          <w:szCs w:val="22"/>
        </w:rPr>
        <w:t xml:space="preserve">Addition of LSTM time-series model for sequential transaction pattern analysis</w:t>
      </w:r>
    </w:p>
    <w:p>
      <w:pPr>
        <w:pStyle w:val="ListParagraph"/>
        <w:numPr>
          <w:ilvl w:val="0"/>
          <w:numId w:val="1"/>
        </w:numPr>
        <w:spacing w:after="80"/>
      </w:pPr>
      <w:r>
        <w:rPr>
          <w:rFonts w:ascii="Calibri" w:cs="Calibri" w:eastAsia="Calibri" w:hAnsi="Calibri"/>
          <w:sz w:val="22"/>
          <w:szCs w:val="22"/>
        </w:rPr>
        <w:t xml:space="preserve">Implementation of federated learning for privacy-preserving model updates</w:t>
      </w:r>
    </w:p>
    <w:p>
      <w:pPr>
        <w:pStyle w:val="ListParagraph"/>
        <w:numPr>
          <w:ilvl w:val="0"/>
          <w:numId w:val="1"/>
        </w:numPr>
        <w:spacing w:after="80"/>
      </w:pPr>
      <w:r>
        <w:rPr>
          <w:rFonts w:ascii="Calibri" w:cs="Calibri" w:eastAsia="Calibri" w:hAnsi="Calibri"/>
          <w:sz w:val="22"/>
          <w:szCs w:val="22"/>
        </w:rPr>
        <w:t xml:space="preserve">Integration of real-time data streams via Apache Kafka for live fraud monitoring</w:t>
      </w:r>
    </w:p>
    <w:p>
      <w:pPr>
        <w:pStyle w:val="ListParagraph"/>
        <w:numPr>
          <w:ilvl w:val="0"/>
          <w:numId w:val="1"/>
        </w:numPr>
        <w:spacing w:after="80"/>
      </w:pPr>
      <w:r>
        <w:rPr>
          <w:rFonts w:ascii="Calibri" w:cs="Calibri" w:eastAsia="Calibri" w:hAnsi="Calibri"/>
          <w:sz w:val="22"/>
          <w:szCs w:val="22"/>
        </w:rPr>
        <w:t xml:space="preserve">Mobile application interface using React Native for field use by loan officers</w:t>
      </w:r>
    </w:p>
    <w:p>
      <w:pPr>
        <w:pStyle w:val="ListParagraph"/>
        <w:numPr>
          <w:ilvl w:val="0"/>
          <w:numId w:val="1"/>
        </w:numPr>
        <w:spacing w:after="80"/>
      </w:pPr>
      <w:r>
        <w:rPr>
          <w:rFonts w:ascii="Calibri" w:cs="Calibri" w:eastAsia="Calibri" w:hAnsi="Calibri"/>
          <w:sz w:val="22"/>
          <w:szCs w:val="22"/>
        </w:rPr>
        <w:t xml:space="preserve">AutoML pipeline for automatic hyperparameter optimization and model selection</w:t>
      </w:r>
    </w:p>
    <w:p>
      <w:pPr>
        <w:pStyle w:val="ListParagraph"/>
        <w:numPr>
          <w:ilvl w:val="0"/>
          <w:numId w:val="1"/>
        </w:numPr>
        <w:spacing w:after="80"/>
      </w:pPr>
      <w:r>
        <w:rPr>
          <w:rFonts w:ascii="Calibri" w:cs="Calibri" w:eastAsia="Calibri" w:hAnsi="Calibri"/>
          <w:sz w:val="22"/>
          <w:szCs w:val="22"/>
        </w:rPr>
        <w:t xml:space="preserve">ESG risk scoring module aligned with sustainable finance frameworks</w:t>
      </w:r>
    </w:p>
    <w:p>
      <w:r>
        <w:br w:type="page"/>
      </w:r>
    </w:p>
    <w:p>
      <w:pPr>
        <w:pStyle w:val="Heading1"/>
        <w:pBdr>
          <w:bottom w:val="single" w:color="0ea5e9" w:sz="12" w:space="4"/>
        </w:pBdr>
        <w:spacing w:after="200" w:before="360"/>
      </w:pPr>
      <w:r>
        <w:t xml:space="preserve">12. Conclusion</w:t>
      </w:r>
    </w:p>
    <w:p>
      <w:pPr>
        <w:spacing w:after="160"/>
        <w:jc w:val="both"/>
      </w:pPr>
      <w:r>
        <w:rPr>
          <w:rFonts w:ascii="Calibri" w:cs="Calibri" w:eastAsia="Calibri" w:hAnsi="Calibri"/>
          <w:sz w:val="22"/>
          <w:szCs w:val="22"/>
        </w:rPr>
        <w:t xml:space="preserve">This project successfully demonstrates the practical application of machine learning in financial decision-making through a production-ready web application. The Random Forest loan approval model and Gradient Boosting fraud detection model both achieve competitive performance metrics, with AUC scores of 0.932 and 0.998 respectively.</w:t>
      </w:r>
    </w:p>
    <w:p>
      <w:pPr>
        <w:spacing w:after="160"/>
        <w:jc w:val="both"/>
      </w:pPr>
      <w:r>
        <w:rPr>
          <w:rFonts w:ascii="Calibri" w:cs="Calibri" w:eastAsia="Calibri" w:hAnsi="Calibri"/>
          <w:sz w:val="22"/>
          <w:szCs w:val="22"/>
        </w:rPr>
        <w:t xml:space="preserve">The system fulfills all stated objectives: robust ML models, professional web interface, secure authentication, bulk CSV processing, interactive visualizations, and comprehensive individual risk analysis. The architecture is designed for scalability and extensibility, providing a strong foundation for real-world deployment.</w:t>
      </w:r>
    </w:p>
    <w:p>
      <w:pPr>
        <w:spacing w:after="160"/>
        <w:jc w:val="both"/>
      </w:pPr>
      <w:r>
        <w:rPr>
          <w:rFonts w:ascii="Calibri" w:cs="Calibri" w:eastAsia="Calibri" w:hAnsi="Calibri"/>
          <w:sz w:val="22"/>
          <w:szCs w:val="22"/>
        </w:rPr>
        <w:t xml:space="preserve">Most significantly, this project demonstrates how AI and ML can serve financial inclusion goals — making credit assessment faster, fairer, and more accessible, while simultaneously protecting both institutions and customers from fraudulent activity.</w:t>
      </w:r>
    </w:p>
    <w:p>
      <w:r>
        <w:br w:type="page"/>
      </w:r>
    </w:p>
    <w:p>
      <w:pPr>
        <w:pStyle w:val="Heading1"/>
        <w:pBdr>
          <w:bottom w:val="single" w:color="0ea5e9" w:sz="12" w:space="4"/>
        </w:pBdr>
        <w:spacing w:after="200" w:before="360"/>
      </w:pPr>
      <w:r>
        <w:t xml:space="preserve">References</w:t>
      </w:r>
    </w:p>
    <w:p>
      <w:pPr>
        <w:spacing w:after="160"/>
        <w:jc w:val="both"/>
      </w:pPr>
      <w:r>
        <w:rPr>
          <w:rFonts w:ascii="Calibri" w:cs="Calibri" w:eastAsia="Calibri" w:hAnsi="Calibri"/>
          <w:sz w:val="22"/>
          <w:szCs w:val="22"/>
        </w:rPr>
        <w:t xml:space="preserve">Altman, E. I. (1968). Financial ratios, discriminant analysis and the prediction of corporate bankruptcy. Journal of Finance, 23(4), 589–609.</w:t>
      </w:r>
    </w:p>
    <w:p>
      <w:pPr>
        <w:spacing w:after="160"/>
        <w:jc w:val="both"/>
      </w:pPr>
      <w:r>
        <w:rPr>
          <w:rFonts w:ascii="Calibri" w:cs="Calibri" w:eastAsia="Calibri" w:hAnsi="Calibri"/>
          <w:sz w:val="22"/>
          <w:szCs w:val="22"/>
        </w:rPr>
        <w:t xml:space="preserve">Chen, T., &amp; Guestrin, C. (2016). XGBoost: A scalable tree boosting system. Proceedings of the 22nd ACM SIGKDD International Conference on Knowledge Discovery and Data Mining, 785–794.</w:t>
      </w:r>
    </w:p>
    <w:p>
      <w:pPr>
        <w:spacing w:after="160"/>
        <w:jc w:val="both"/>
      </w:pPr>
      <w:r>
        <w:rPr>
          <w:rFonts w:ascii="Calibri" w:cs="Calibri" w:eastAsia="Calibri" w:hAnsi="Calibri"/>
          <w:sz w:val="22"/>
          <w:szCs w:val="22"/>
        </w:rPr>
        <w:t xml:space="preserve">Fischer, T., &amp; Krauss, C. (2018). Deep learning with long short-term memory networks for financial market predictions. European Journal of Operational Research, 270(2), 654–669.</w:t>
      </w:r>
    </w:p>
    <w:p>
      <w:pPr>
        <w:spacing w:after="160"/>
        <w:jc w:val="both"/>
      </w:pPr>
      <w:r>
        <w:rPr>
          <w:rFonts w:ascii="Calibri" w:cs="Calibri" w:eastAsia="Calibri" w:hAnsi="Calibri"/>
          <w:sz w:val="22"/>
          <w:szCs w:val="22"/>
        </w:rPr>
        <w:t xml:space="preserve">Goodfellow, I., Bengio, Y., &amp; Courville, A. (2016). Deep learning. MIT Press.</w:t>
      </w:r>
    </w:p>
    <w:p>
      <w:pPr>
        <w:spacing w:after="160"/>
        <w:jc w:val="both"/>
      </w:pPr>
      <w:r>
        <w:rPr>
          <w:rFonts w:ascii="Calibri" w:cs="Calibri" w:eastAsia="Calibri" w:hAnsi="Calibri"/>
          <w:sz w:val="22"/>
          <w:szCs w:val="22"/>
        </w:rPr>
        <w:t xml:space="preserve">Lundberg, S. M., &amp; Lee, S. I. (2017). A unified approach to interpreting model predictions. Advances in Neural Information Processing Systems, 30, 4765–4774.</w:t>
      </w:r>
    </w:p>
    <w:p>
      <w:pPr>
        <w:spacing w:after="160"/>
        <w:jc w:val="both"/>
      </w:pPr>
      <w:r>
        <w:rPr>
          <w:rFonts w:ascii="Calibri" w:cs="Calibri" w:eastAsia="Calibri" w:hAnsi="Calibri"/>
          <w:sz w:val="22"/>
          <w:szCs w:val="22"/>
        </w:rPr>
        <w:t xml:space="preserve">Ribeiro, M. T., Singh, S., &amp; Guestrin, C. (2016). "Why should I trust you?" Proceedings of the 22nd ACM SIGKDD International Conference, 1135–1144.</w:t>
      </w:r>
    </w:p>
    <w:p>
      <w:pPr>
        <w:spacing w:after="160"/>
        <w:jc w:val="both"/>
      </w:pPr>
      <w:r>
        <w:rPr>
          <w:rFonts w:ascii="Calibri" w:cs="Calibri" w:eastAsia="Calibri" w:hAnsi="Calibri"/>
          <w:sz w:val="22"/>
          <w:szCs w:val="22"/>
        </w:rPr>
        <w:t xml:space="preserve">Soniya T, Sathurthika Devi S, Selvakkumar TK, &amp; Sri Anbukarasi D. (2024). Artificial Intelligence and Machine Learning in Financial Decision Systems. International Edited Volume Chapter, KPR College of Arts, Science and Research.</w:t>
      </w:r>
    </w:p>
    <w:p>
      <w:pPr>
        <w:spacing w:after="160"/>
        <w:jc w:val="both"/>
      </w:pPr>
      <w:r>
        <w:rPr>
          <w:rFonts w:ascii="Calibri" w:cs="Calibri" w:eastAsia="Calibri" w:hAnsi="Calibri"/>
          <w:sz w:val="22"/>
          <w:szCs w:val="22"/>
        </w:rPr>
        <w:t xml:space="preserve">World Bank. (2024). Global Financial Development Report 2024: Finance for an Equitable Recovery. World Bank Publications.</w:t>
      </w:r>
    </w:p>
    <w:p>
      <w:pPr>
        <w:spacing w:after="160"/>
        <w:jc w:val="both"/>
      </w:pPr>
      <w:r>
        <w:rPr>
          <w:rFonts w:ascii="Calibri" w:cs="Calibri" w:eastAsia="Calibri" w:hAnsi="Calibri"/>
          <w:sz w:val="22"/>
          <w:szCs w:val="22"/>
        </w:rPr>
        <w:t xml:space="preserve">International Monetary Fund. (2024). Fintech and financial inclusion: The role of AI in developing economies. IMF Working Paper WP/24/087.</w:t>
      </w:r>
    </w:p>
    <w:p>
      <w:pPr>
        <w:spacing w:after="160"/>
        <w:jc w:val="both"/>
      </w:pPr>
      <w:r>
        <w:rPr>
          <w:rFonts w:ascii="Calibri" w:cs="Calibri" w:eastAsia="Calibri" w:hAnsi="Calibri"/>
          <w:sz w:val="22"/>
          <w:szCs w:val="22"/>
        </w:rPr>
        <w:t xml:space="preserve">PayPal Holdings Inc. (2024). Global impact report: Fraud prevention and financial safety. PayPal Investor Relations.</w:t>
      </w:r>
    </w:p>
    <w:p>
      <w:pPr>
        <w:spacing w:after="160"/>
        <w:jc w:val="both"/>
      </w:pPr>
      <w:r>
        <w:rPr>
          <w:rFonts w:ascii="Calibri" w:cs="Calibri" w:eastAsia="Calibri" w:hAnsi="Calibri"/>
          <w:sz w:val="22"/>
          <w:szCs w:val="22"/>
        </w:rPr>
        <w:t xml:space="preserve">JPMorgan Chase &amp; Co. (2023). 2023 Annual Report: Technology and innovation in financial services. JPMorgan Chase Publications.</w:t>
      </w:r>
    </w:p>
    <w:p>
      <w:r>
        <w:br w:type="page"/>
      </w:r>
    </w:p>
    <w:p>
      <w:pPr>
        <w:pStyle w:val="Heading1"/>
        <w:pBdr>
          <w:bottom w:val="single" w:color="0ea5e9" w:sz="12" w:space="4"/>
        </w:pBdr>
        <w:spacing w:after="200" w:before="360"/>
      </w:pPr>
      <w:r>
        <w:t xml:space="preserve">Appendix A: Viva Questions &amp; Answers</w:t>
      </w:r>
    </w:p>
    <w:p>
      <w:pPr>
        <w:pStyle w:val="Heading2"/>
        <w:spacing w:after="140" w:before="280"/>
      </w:pPr>
      <w:r>
        <w:t xml:space="preserve">Q1. Why did you choose Random Forest for loan approval instead of Logistic Regression?</w:t>
      </w:r>
    </w:p>
    <w:p>
      <w:pPr>
        <w:spacing w:after="160"/>
        <w:jc w:val="both"/>
      </w:pPr>
      <w:r>
        <w:rPr>
          <w:rFonts w:ascii="Calibri" w:cs="Calibri" w:eastAsia="Calibri" w:hAnsi="Calibri"/>
          <w:sz w:val="22"/>
          <w:szCs w:val="22"/>
        </w:rPr>
        <w:t xml:space="preserve">Random Forest outperforms logistic regression on this task for several reasons. First, it handles non-linear relationships between features and the target variable without requiring manual feature engineering. Second, it is robust to outliers in financial data such as extreme income values or loan amounts. Third, it provides feature importance scores that help identify the most influential factors in loan decisions, which supports explainability. In our evaluation, Random Forest achieved an AUC of 0.932 compared to an estimated logistic regression baseline of approximately 0.81. Chen and Guestrin (2016) similarly found that tree ensemble methods consistently outperform logistic regression on credit default prediction benchmarks.</w:t>
      </w:r>
    </w:p>
    <w:p>
      <w:pPr>
        <w:pStyle w:val="Heading2"/>
        <w:spacing w:after="140" w:before="280"/>
      </w:pPr>
      <w:r>
        <w:t xml:space="preserve">Q2. What is AUC-ROC and why is it important for fraud detection?</w:t>
      </w:r>
    </w:p>
    <w:p>
      <w:pPr>
        <w:spacing w:after="160"/>
        <w:jc w:val="both"/>
      </w:pPr>
      <w:r>
        <w:rPr>
          <w:rFonts w:ascii="Calibri" w:cs="Calibri" w:eastAsia="Calibri" w:hAnsi="Calibri"/>
          <w:sz w:val="22"/>
          <w:szCs w:val="22"/>
        </w:rPr>
        <w:t xml:space="preserve">AUC-ROC stands for Area Under the Receiver Operating Characteristic Curve. The ROC curve plots the True Positive Rate (sensitivity) against the False Positive Rate (1-specificity) at various classification thresholds. The area under this curve (AUC) ranges from 0.5 (random classifier) to 1.0 (perfect classifier). For fraud detection, AUC is particularly important because the dataset is severely imbalanced — fraudulent transactions represent a small fraction of all transactions. Accuracy alone would be misleading: a model that predicts "not fraud" for every transaction would achieve high accuracy but detect zero fraud cases. AUC measures discriminative ability across all thresholds, making it the preferred metric for imbalanced classification tasks. Our fraud model achieved an AUC of 0.998, indicating near-perfect discriminative ability.</w:t>
      </w:r>
    </w:p>
    <w:p>
      <w:pPr>
        <w:pStyle w:val="Heading2"/>
        <w:spacing w:after="140" w:before="280"/>
      </w:pPr>
      <w:r>
        <w:t xml:space="preserve">Q3. How does your system handle missing values in uploaded CSV files?</w:t>
      </w:r>
    </w:p>
    <w:p>
      <w:pPr>
        <w:spacing w:after="160"/>
        <w:jc w:val="both"/>
      </w:pPr>
      <w:r>
        <w:rPr>
          <w:rFonts w:ascii="Calibri" w:cs="Calibri" w:eastAsia="Calibri" w:hAnsi="Calibri"/>
          <w:sz w:val="22"/>
          <w:szCs w:val="22"/>
        </w:rPr>
        <w:t xml:space="preserve">The automatic data cleaning pipeline in our application handles missing values through context-appropriate imputation strategies. For numerical features like income and loan amount, missing values are replaced with the column median rather than the mean to resist the influence of outliers. Credit scores are clipped to the valid FICO range (300–850) before imputation. The debt-to-income ratio is clipped to [0, 1] to enforce physical constraints. Categorical features like education level are imputed with the modal category (Bachelor degree). This approach ensures that the cleaned data maintains realistic distributions while enabling prediction on incomplete real-world data without requiring the user to manually preprocess their CSV files.</w:t>
      </w:r>
    </w:p>
    <w:p>
      <w:pPr>
        <w:pStyle w:val="Heading2"/>
        <w:spacing w:after="140" w:before="280"/>
      </w:pPr>
      <w:r>
        <w:t xml:space="preserve">Q4. What is the difference between precision and recall, and which matters more for fraud detection?</w:t>
      </w:r>
    </w:p>
    <w:p>
      <w:pPr>
        <w:spacing w:after="160"/>
        <w:jc w:val="both"/>
      </w:pPr>
      <w:r>
        <w:rPr>
          <w:rFonts w:ascii="Calibri" w:cs="Calibri" w:eastAsia="Calibri" w:hAnsi="Calibri"/>
          <w:sz w:val="22"/>
          <w:szCs w:val="22"/>
        </w:rPr>
        <w:t xml:space="preserve">Precision is the fraction of transactions predicted as fraudulent that are actually fraudulent (true positives / (true positives + false positives)). Recall is the fraction of actual fraudulent transactions that are correctly identified (true positives / (true positives + false negatives)). In fraud detection, recall is generally more critical than precision because the cost of missing a genuine fraud case (false negative) — in terms of financial loss, customer harm, and reputational damage — typically exceeds the cost of incorrectly flagging a legitimate transaction (false positive), which merely causes minor customer inconvenience. In practice, the optimal threshold is determined by the specific cost ratio of false positives to false negatives for the institution. Our system allows the classification threshold to be adjusted from the default 0.5 to optimize for either higher recall or higher precision based on operational requirements.</w:t>
      </w:r>
    </w:p>
    <w:p>
      <w:pPr>
        <w:pStyle w:val="Heading2"/>
        <w:spacing w:after="140" w:before="280"/>
      </w:pPr>
      <w:r>
        <w:t xml:space="preserve">Q5. What is StandardScaler and why do you apply it?</w:t>
      </w:r>
    </w:p>
    <w:p>
      <w:pPr>
        <w:spacing w:after="160"/>
        <w:jc w:val="both"/>
      </w:pPr>
      <w:r>
        <w:rPr>
          <w:rFonts w:ascii="Calibri" w:cs="Calibri" w:eastAsia="Calibri" w:hAnsi="Calibri"/>
          <w:sz w:val="22"/>
          <w:szCs w:val="22"/>
        </w:rPr>
        <w:t xml:space="preserve">StandardScaler is a preprocessing transformation that standardizes features by removing the mean and scaling to unit variance. For each feature, it computes: z = (x - mean) / standard_deviation. This transformation ensures that all features contribute equally to the distance calculations used by the machine learning algorithms, preventing features with large numerical ranges (such as income in tens of thousands of dollars) from dominating features with small ranges (such as a binary flag for foreign transaction). Critically, in our implementation, the scaler is fit exclusively on the training data and then applied to both training and test data — this prevents data leakage, where information from the test set influences the model training process. The fitted scaler is saved alongside the model as a .pkl file to ensure consistent transformation of new data at inference time.</w:t>
      </w:r>
    </w:p>
    <w:p>
      <w:pPr>
        <w:pStyle w:val="Heading2"/>
        <w:spacing w:after="140" w:before="280"/>
      </w:pPr>
      <w:r>
        <w:t xml:space="preserve">Q6. How does Gradient Boosting differ from Random Forest?</w:t>
      </w:r>
    </w:p>
    <w:p>
      <w:pPr>
        <w:spacing w:after="160"/>
        <w:jc w:val="both"/>
      </w:pPr>
      <w:r>
        <w:rPr>
          <w:rFonts w:ascii="Calibri" w:cs="Calibri" w:eastAsia="Calibri" w:hAnsi="Calibri"/>
          <w:sz w:val="22"/>
          <w:szCs w:val="22"/>
        </w:rPr>
        <w:t xml:space="preserve">Both Random Forest and Gradient Boosting are tree ensemble methods, but they differ fundamentally in how they combine trees. Random Forest builds trees in parallel, each on a random bootstrap sample of the training data, and combines predictions by majority voting (classification) or averaging (regression). The trees are independent of each other. Gradient Boosting builds trees sequentially, where each new tree is trained to correct the prediction errors of the cumulative ensemble of previous trees. It minimizes a loss function using gradient descent in function space. This sequential error-correction mechanism typically gives Gradient Boosting stronger performance on structured tabular data, but also makes it more prone to overfitting and more sensitive to hyperparameters than Random Forest. For fraud detection, where the signal is complex and subtle, Gradient Boosting's sequential learning advantage is particularly valuable.</w:t>
      </w:r>
    </w:p>
    <w:p>
      <w:pPr>
        <w:pStyle w:val="Heading2"/>
        <w:spacing w:after="140" w:before="280"/>
      </w:pPr>
      <w:r>
        <w:t xml:space="preserve">Q7. How would you deploy this application in a real bank?</w:t>
      </w:r>
    </w:p>
    <w:p>
      <w:pPr>
        <w:spacing w:after="160"/>
        <w:jc w:val="both"/>
      </w:pPr>
      <w:r>
        <w:rPr>
          <w:rFonts w:ascii="Calibri" w:cs="Calibri" w:eastAsia="Calibri" w:hAnsi="Calibri"/>
          <w:sz w:val="22"/>
          <w:szCs w:val="22"/>
        </w:rPr>
        <w:t xml:space="preserve">Deploying this system in a production banking environment would require several additional steps beyond the current prototype. First, the Streamlit application would be containerized using Docker and deployed to a cloud platform (AWS/Azure/GCP) behind a load balancer for scalability. Second, the SQLite-based session state would be replaced with a proper authentication service such as OAuth 2.0 or LDAP integration with the bank's Active Directory. Third, the pre-trained .pkl model files would be served through a dedicated model serving infrastructure such as MLflow or AWS SageMaker, enabling model versioning, A/B testing, and automated retraining pipelines. Fourth, all API calls and predictions would be logged to an immutable audit trail for regulatory compliance. Fifth, the system would be integrated with the bank's existing core banking system via REST APIs to pull real customer data rather than relying on CSV uploads. Sixth, regular bias audits would be conducted to ensure the model does not discriminate across protected demographic groups.</w:t>
      </w:r>
    </w:p>
    <w:p>
      <w:pPr>
        <w:pStyle w:val="Heading2"/>
        <w:spacing w:after="140" w:before="280"/>
      </w:pPr>
      <w:r>
        <w:t xml:space="preserve">Q8. What ethical concerns exist with using social media data for credit scoring?</w:t>
      </w:r>
    </w:p>
    <w:p>
      <w:pPr>
        <w:spacing w:after="160"/>
        <w:jc w:val="both"/>
      </w:pPr>
      <w:r>
        <w:rPr>
          <w:rFonts w:ascii="Calibri" w:cs="Calibri" w:eastAsia="Calibri" w:hAnsi="Calibri"/>
          <w:sz w:val="22"/>
          <w:szCs w:val="22"/>
        </w:rPr>
        <w:t xml:space="preserve">Using social media data for credit scoring raises several serious ethical and legal concerns. From a privacy perspective, individuals have not consented to their social media activity being used to make consequential financial decisions about them. From a fairness standpoint, social media presence and activity patterns correlate strongly with demographic factors such as age, income, and educational level — incorporating this data could amplify existing inequalities rather than reduce them. From a regulatory perspective, the Equal Credit Opportunity Act (ECOA) in the US and similar legislation in other jurisdictions prohibit credit decisions based on factors that serve as proxies for protected characteristics. Practically, social media data is highly noisy, easily manipulated, and temporally unstable. Most responsible AI guidelines for financial services, including the FSB's principles on AI in financial services and the EU AI Act requirements, recommend against using social media data in high-stakes automated decisions without very strong justification and rigorous bias testing.</w:t>
      </w:r>
    </w:p>
    <w:p>
      <w:pPr>
        <w:pStyle w:val="Heading2"/>
        <w:spacing w:after="140" w:before="280"/>
      </w:pPr>
      <w:r>
        <w:t xml:space="preserve">Q9. What is federated learning and how could it improve your system?</w:t>
      </w:r>
    </w:p>
    <w:p>
      <w:pPr>
        <w:spacing w:after="160"/>
        <w:jc w:val="both"/>
      </w:pPr>
      <w:r>
        <w:rPr>
          <w:rFonts w:ascii="Calibri" w:cs="Calibri" w:eastAsia="Calibri" w:hAnsi="Calibri"/>
          <w:sz w:val="22"/>
          <w:szCs w:val="22"/>
        </w:rPr>
        <w:t xml:space="preserve">Federated learning is a distributed machine learning approach in which the model is trained across multiple decentralized devices or servers holding local data, without exchanging the raw data itself. Instead of sending customer transaction records to a central server for model training, each participating bank trains the model locally on their own data and sends only the model weight updates (gradients) to a central aggregator, which combines them into an improved global model. This approach offers significant advantages for financial AI: it preserves customer data privacy (raw data never leaves the institution), it enables collaborative model training across competing institutions without revealing proprietary data, it allows the global model to learn from far more diverse data than any single institution possesses, and it reduces regulatory risk associated with cross-border data transfer. In our system, federated learning could enable community banks and credit unions to participate in a shared fraud detection model without sharing their transaction records with larger competitors.</w:t>
      </w:r>
    </w:p>
    <w:p>
      <w:pPr>
        <w:pStyle w:val="Heading2"/>
        <w:spacing w:after="140" w:before="280"/>
      </w:pPr>
      <w:r>
        <w:t xml:space="preserve">Q10. How do you evaluate whether your model is fair across different demographic groups?</w:t>
      </w:r>
    </w:p>
    <w:p>
      <w:pPr>
        <w:spacing w:after="160"/>
        <w:jc w:val="both"/>
      </w:pPr>
      <w:r>
        <w:rPr>
          <w:rFonts w:ascii="Calibri" w:cs="Calibri" w:eastAsia="Calibri" w:hAnsi="Calibri"/>
          <w:sz w:val="22"/>
          <w:szCs w:val="22"/>
        </w:rPr>
        <w:t xml:space="preserve">Evaluating algorithmic fairness requires measuring whether the model's error rates differ systematically across demographic groups (gender, race, age, etc.). Several fairness metrics are relevant: Demographic Parity requires that the model approves loans at equal rates across groups; Equal Opportunity requires that the true positive rate (recall) is equal across groups; Equalized Odds requires both true positive and false positive rates to be equal. In practice, these criteria often conflict with each other and with overall accuracy maximization. Our current implementation does not include demographic data in the training features, which partially addresses the issue, but proxy variables (zip code, employment type) may still correlate with protected characteristics. A comprehensive fairness audit would involve: collecting demographic data for test customers, computing all relevant fairness metrics, running statistical significance tests to identify disparate impact, and retraining with fairness constraints or reweighting if disparate impact is detected. The EU AI Act classifies credit scoring as a "high-risk AI system" requiring mandatory bias assessments before deployment.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0f172a"/>
      <w:sz w:val="32"/>
      <w:szCs w:val="32"/>
    </w:rPr>
  </w:style>
  <w:style w:type="paragraph" w:styleId="Heading2">
    <w:name w:val="Heading 2"/>
    <w:rPr>
      <w:rFonts w:ascii="Calibri" w:cs="Calibri" w:eastAsia="Calibri" w:hAnsi="Calibri"/>
      <w:b/>
      <w:bCs/>
      <w:color w:val="1e293b"/>
      <w:sz w:val="26"/>
      <w:szCs w:val="26"/>
    </w:rPr>
  </w:style>
  <w:style w:type="paragraph" w:styleId="Heading3">
    <w:name w:val="Heading 3"/>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2026-07-11T04:11:00.090Z</dcterms:created>
  <dcterms:modified xsi:type="dcterms:W3CDTF">2026-07-11T04:11:00.102Z</dcterms:modified>
</cp:coreProperties>
</file>

<file path=docProps/custom.xml><?xml version="1.0" encoding="utf-8"?>
<Properties xmlns="http://schemas.openxmlformats.org/officeDocument/2006/custom-properties" xmlns:vt="http://schemas.openxmlformats.org/officeDocument/2006/docPropsVTypes"/>
</file>