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f3f"/>
          <w:sz w:val="52"/>
          <w:szCs w:val="52"/>
          <w:rtl w:val="0"/>
        </w:rPr>
        <w:t xml:space="preserve">Optum BI Visualization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5b6472"/>
          <w:sz w:val="26"/>
          <w:szCs w:val="26"/>
          <w:rtl w:val="0"/>
        </w:rPr>
        <w:t xml:space="preserve">Business Objective  ·  Market Research  ·  Roles &amp; Users  ·  Open Questions  ·  CEO 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f5fe0" w:space="8" w:sz="16" w:val="single"/>
        </w:pBdr>
        <w:spacing w:after="3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40" w:lineRule="auto"/>
        <w:rPr>
          <w:rFonts w:ascii="Calibri" w:cs="Calibri" w:eastAsia="Calibri" w:hAnsi="Calibri"/>
          <w:color w:val="12172b"/>
        </w:rPr>
      </w:pPr>
      <w:r w:rsidDel="00000000" w:rsidR="00000000" w:rsidRPr="00000000">
        <w:rPr>
          <w:rFonts w:ascii="Calibri" w:cs="Calibri" w:eastAsia="Calibri" w:hAnsi="Calibri"/>
          <w:color w:val="12172b"/>
          <w:sz w:val="20"/>
          <w:szCs w:val="20"/>
          <w:rtl w:val="0"/>
        </w:rPr>
        <w:t xml:space="preserve">Prepared by: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2172b"/>
          <w:sz w:val="20"/>
          <w:szCs w:val="20"/>
          <w:rtl w:val="0"/>
        </w:rPr>
        <w:t xml:space="preserve">Naveen Kumar (i18012)</w:t>
      </w:r>
      <w:r w:rsidDel="00000000" w:rsidR="00000000" w:rsidRPr="00000000">
        <w:rPr>
          <w:rFonts w:ascii="Calibri" w:cs="Calibri" w:eastAsia="Calibri" w:hAnsi="Calibri"/>
          <w:color w:val="12172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="240" w:lineRule="auto"/>
        <w:rPr>
          <w:rFonts w:ascii="Calibri" w:cs="Calibri" w:eastAsia="Calibri" w:hAnsi="Calibri"/>
          <w:color w:val="1217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f3f"/>
          <w:sz w:val="30"/>
          <w:szCs w:val="30"/>
          <w:rtl w:val="0"/>
        </w:rPr>
        <w:t xml:space="preserve">1. Business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2172b"/>
          <w:sz w:val="20"/>
          <w:szCs w:val="20"/>
          <w:rtl w:val="0"/>
        </w:rPr>
        <w:t xml:space="preserve">Optum Insight's CEO has asked Ideas2IT for a proposal to build a Power BI visualization tool that shows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2172b"/>
          <w:sz w:val="20"/>
          <w:szCs w:val="20"/>
          <w:rtl w:val="0"/>
        </w:rPr>
        <w:t xml:space="preserve">where Optum is winning, where it is losing, and where potential savings opportunities exist</w:t>
      </w:r>
      <w:r w:rsidDel="00000000" w:rsidR="00000000" w:rsidRPr="00000000">
        <w:rPr>
          <w:rFonts w:ascii="Calibri" w:cs="Calibri" w:eastAsia="Calibri" w:hAnsi="Calibri"/>
          <w:color w:val="12172b"/>
          <w:sz w:val="20"/>
          <w:szCs w:val="20"/>
          <w:rtl w:val="0"/>
        </w:rPr>
        <w:t xml:space="preserve">. The objective of this deliverable is to scope that solution: what it should show, who it should serve, what data it needs, and what questions must be confirmed before development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fe0"/>
          <w:sz w:val="22"/>
          <w:szCs w:val="22"/>
          <w:rtl w:val="0"/>
        </w:rPr>
        <w:t xml:space="preserve">The CEO's Ask,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5b6472"/>
          <w:sz w:val="20"/>
          <w:szCs w:val="20"/>
          <w:rtl w:val="0"/>
        </w:rPr>
        <w:t xml:space="preserve">"Build a visualization tool for understanding where we are winning, losing, and where the potential opportunities for savings are."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fe0"/>
          <w:sz w:val="22"/>
          <w:szCs w:val="22"/>
          <w:rtl w:val="0"/>
        </w:rPr>
        <w:t xml:space="preserve">Why Two Interpretations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2172b"/>
          <w:sz w:val="20"/>
          <w:szCs w:val="20"/>
          <w:rtl w:val="0"/>
        </w:rPr>
        <w:t xml:space="preserve">The phrase “winning, losing, savings” is genuinely ambiguous for a company with Optum's scope. Rather than guess, this proposal presents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2172b"/>
          <w:sz w:val="20"/>
          <w:szCs w:val="20"/>
          <w:rtl w:val="0"/>
        </w:rPr>
        <w:t xml:space="preserve">two clearly labeled interpretations</w:t>
      </w:r>
      <w:r w:rsidDel="00000000" w:rsidR="00000000" w:rsidRPr="00000000">
        <w:rPr>
          <w:rFonts w:ascii="Calibri" w:cs="Calibri" w:eastAsia="Calibri" w:hAnsi="Calibri"/>
          <w:color w:val="12172b"/>
          <w:sz w:val="20"/>
          <w:szCs w:val="20"/>
          <w:rtl w:val="0"/>
        </w:rPr>
        <w:t xml:space="preserve"> and recommends confirming which one (or both) the CEO meant before full-scale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0"/>
          <w:strike w:val="0"/>
          <w:color w:val="12172b"/>
          <w:sz w:val="19"/>
          <w:szCs w:val="19"/>
          <w:u w:val="none"/>
          <w:shd w:fill="auto" w:val="clear"/>
          <w:vertAlign w:val="baseline"/>
          <w:rtl w:val="0"/>
        </w:rPr>
        <w:t xml:space="preserve">Scenario A — Healthcare Performance (MCR-based):</w:t>
      </w:r>
      <w:r w:rsidDel="00000000" w:rsidR="00000000" w:rsidRPr="00000000">
        <w:rPr>
          <w:rFonts w:ascii="Calibri" w:cs="Calibri" w:eastAsia="Calibri" w:hAnsi="Calibri"/>
          <w:smallCaps w:val="0"/>
          <w:strike w:val="0"/>
          <w:color w:val="12172b"/>
          <w:sz w:val="19"/>
          <w:szCs w:val="19"/>
          <w:u w:val="none"/>
          <w:shd w:fill="auto" w:val="clear"/>
          <w:vertAlign w:val="baseline"/>
          <w:rtl w:val="0"/>
        </w:rPr>
        <w:t xml:space="preserve"> winning/losing read at the market, member, and Medical Care Ratio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0"/>
          <w:strike w:val="0"/>
          <w:color w:val="12172b"/>
          <w:sz w:val="19"/>
          <w:szCs w:val="19"/>
          <w:u w:val="none"/>
          <w:shd w:fill="auto" w:val="clear"/>
          <w:vertAlign w:val="baseline"/>
          <w:rtl w:val="0"/>
        </w:rPr>
        <w:t xml:space="preserve">Scenario B — Sales Pipeline:</w:t>
      </w:r>
      <w:r w:rsidDel="00000000" w:rsidR="00000000" w:rsidRPr="00000000">
        <w:rPr>
          <w:rFonts w:ascii="Calibri" w:cs="Calibri" w:eastAsia="Calibri" w:hAnsi="Calibri"/>
          <w:smallCaps w:val="0"/>
          <w:strike w:val="0"/>
          <w:color w:val="12172b"/>
          <w:sz w:val="19"/>
          <w:szCs w:val="19"/>
          <w:u w:val="none"/>
          <w:shd w:fill="auto" w:val="clear"/>
          <w:vertAlign w:val="baseline"/>
          <w:rtl w:val="0"/>
        </w:rPr>
        <w:t xml:space="preserve"> winning/losing read at the deal, competitor, and contract-margin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fe0"/>
          <w:sz w:val="22"/>
          <w:szCs w:val="22"/>
          <w:rtl w:val="0"/>
        </w:rPr>
        <w:t xml:space="preserve">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2172b"/>
          <w:sz w:val="20"/>
          <w:szCs w:val="20"/>
          <w:rtl w:val="0"/>
        </w:rPr>
        <w:t xml:space="preserve">We recommend a phased build — Discovery (confirm scope &amp; data sources, ~2 weeks) → Prototype (one region or line of business) → Full rollout — so that a wrong assumption is caught in two weeks, not after the full solution is built.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2f5fe0" w:space="6" w:sz="6" w:val="single"/>
        </w:pBdr>
        <w:spacing w:after="160" w:before="3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f3f"/>
          <w:sz w:val="30"/>
          <w:szCs w:val="30"/>
          <w:rtl w:val="0"/>
        </w:rPr>
        <w:t xml:space="preserve">2. Market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fe0"/>
          <w:sz w:val="22"/>
          <w:szCs w:val="22"/>
          <w:rtl w:val="0"/>
        </w:rPr>
        <w:t xml:space="preserve">Confirmed, Public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mallCaps w:val="0"/>
          <w:strike w:val="0"/>
          <w:color w:val="12172b"/>
          <w:sz w:val="19"/>
          <w:szCs w:val="19"/>
          <w:u w:val="none"/>
          <w:shd w:fill="auto" w:val="clear"/>
          <w:vertAlign w:val="baseline"/>
          <w:rtl w:val="0"/>
        </w:rPr>
        <w:t xml:space="preserve">Optum is a subsidiary of UnitedHealth Group, spanning Optum Health (care delivery), Optum Rx (pharmacy benefits), and Optum Insight (data/analytics/consulting).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mallCaps w:val="0"/>
          <w:strike w:val="0"/>
          <w:color w:val="12172b"/>
          <w:sz w:val="19"/>
          <w:szCs w:val="19"/>
          <w:u w:val="none"/>
          <w:shd w:fill="auto" w:val="clear"/>
          <w:vertAlign w:val="baseline"/>
          <w:rtl w:val="0"/>
        </w:rPr>
        <w:t xml:space="preserve">Optum was named a leader in Everest Group's 2026 Revenue Cycle Management (RCM) Platforms PEAK Matrix Assessment, and recognized as a market leader by HFS Horizons.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mallCaps w:val="0"/>
          <w:strike w:val="0"/>
          <w:color w:val="12172b"/>
          <w:sz w:val="19"/>
          <w:szCs w:val="19"/>
          <w:u w:val="none"/>
          <w:shd w:fill="auto" w:val="clear"/>
          <w:vertAlign w:val="baseline"/>
          <w:rtl w:val="0"/>
        </w:rPr>
        <w:t xml:space="preserve">Core service lines include Revenue Cycle Management (e.g. Acuity RCM analytics), Risk Adjustment analytics, Value-Based Care enablement, and Prior Authorization automation (e.g. PreCheck).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mallCaps w:val="0"/>
          <w:strike w:val="0"/>
          <w:color w:val="12172b"/>
          <w:sz w:val="19"/>
          <w:szCs w:val="19"/>
          <w:u w:val="none"/>
          <w:shd w:fill="auto" w:val="clear"/>
          <w:vertAlign w:val="baseline"/>
          <w:rtl w:val="0"/>
        </w:rPr>
        <w:t xml:space="preserve">Optum Healthcare (payer/care-delivery side) reports performance via Members, Revenue, Medical Care Ratio (MCR), Lines of Business (Commercial, Medicare Advantage, Medicaid, Other/Specialty), Claims Processed, Network Providers, and Member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fe0"/>
          <w:sz w:val="22"/>
          <w:szCs w:val="22"/>
          <w:rtl w:val="0"/>
        </w:rPr>
        <w:t xml:space="preserve">Working Definition: Medical Care Ratio (MCR)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2172b"/>
          <w:sz w:val="20"/>
          <w:szCs w:val="20"/>
          <w:rtl w:val="0"/>
        </w:rPr>
        <w:t xml:space="preserve">MCR = % of premium revenue paid out in medical claims.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2172b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alibri" w:cs="Calibri" w:eastAsia="Calibri" w:hAnsi="Calibri"/>
          <w:color w:val="12172b"/>
          <w:sz w:val="20"/>
          <w:szCs w:val="20"/>
          <w:rtl w:val="0"/>
        </w:rPr>
        <w:t xml:space="preserve"> MCR generally signals cost/savings efficiency;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2172b"/>
          <w:sz w:val="20"/>
          <w:szCs w:val="20"/>
          <w:rtl w:val="0"/>
        </w:rPr>
        <w:t xml:space="preserve">rising</w:t>
      </w:r>
      <w:r w:rsidDel="00000000" w:rsidR="00000000" w:rsidRPr="00000000">
        <w:rPr>
          <w:rFonts w:ascii="Calibri" w:cs="Calibri" w:eastAsia="Calibri" w:hAnsi="Calibri"/>
          <w:color w:val="12172b"/>
          <w:sz w:val="20"/>
          <w:szCs w:val="20"/>
          <w:rtl w:val="0"/>
        </w:rPr>
        <w:t xml:space="preserve"> MCR signals margin erosion. This is our working proxy for the “savings opportunity” KPI under Scenario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2f5fe0" w:space="6" w:sz="6" w:val="single"/>
        </w:pBdr>
        <w:spacing w:after="160" w:before="3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f3f"/>
          <w:sz w:val="30"/>
          <w:szCs w:val="30"/>
          <w:rtl w:val="0"/>
        </w:rPr>
        <w:t xml:space="preserve">3. Roles &amp; Potential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2172b"/>
          <w:sz w:val="20"/>
          <w:szCs w:val="20"/>
          <w:rtl w:val="0"/>
        </w:rPr>
        <w:t xml:space="preserve">Generic role names (Worker, Admin, Distributor, Client) were translated to their real Optum Healthcare equivalents, since Optum is a payer/analytics business rather than a manufacturer.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550"/>
        <w:gridCol w:w="2900"/>
        <w:tblGridChange w:id="0">
          <w:tblGrid>
            <w:gridCol w:w="1900"/>
            <w:gridCol w:w="4550"/>
            <w:gridCol w:w="2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0b1f3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Generic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0b1f3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Optum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0b1f3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Where They 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2172b"/>
                <w:sz w:val="17"/>
                <w:szCs w:val="17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CEO / Executive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Both scenarios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2172b"/>
                <w:sz w:val="17"/>
                <w:szCs w:val="17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Regional President / State &amp; Market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Scenario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2172b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Operations / Claims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Scenario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2172b"/>
                <w:sz w:val="17"/>
                <w:szCs w:val="17"/>
                <w:rtl w:val="0"/>
              </w:rPr>
              <w:t xml:space="preserve">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Claims Processing Associate / Care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Scenario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2172b"/>
                <w:sz w:val="17"/>
                <w:szCs w:val="17"/>
                <w:rtl w:val="0"/>
              </w:rPr>
              <w:t xml:space="preserve">Distributor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Broker / Channel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Both (external)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2172b"/>
                <w:sz w:val="17"/>
                <w:szCs w:val="17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Employer Group (B2B) &amp; Member (individual)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Both scenarios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fe0"/>
          <w:sz w:val="22"/>
          <w:szCs w:val="22"/>
          <w:rtl w:val="0"/>
        </w:rPr>
        <w:t xml:space="preserve">Additional Named Roles (no generic equivalent)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0"/>
          <w:strike w:val="0"/>
          <w:color w:val="12172b"/>
          <w:sz w:val="19"/>
          <w:szCs w:val="19"/>
          <w:u w:val="none"/>
          <w:shd w:fill="auto" w:val="clear"/>
          <w:vertAlign w:val="baseline"/>
          <w:rtl w:val="0"/>
        </w:rPr>
        <w:t xml:space="preserve">Actuarial &amp; Underwriting Manager</w:t>
      </w:r>
      <w:r w:rsidDel="00000000" w:rsidR="00000000" w:rsidRPr="00000000">
        <w:rPr>
          <w:rFonts w:ascii="Calibri" w:cs="Calibri" w:eastAsia="Calibri" w:hAnsi="Calibri"/>
          <w:smallCaps w:val="0"/>
          <w:strike w:val="0"/>
          <w:color w:val="12172b"/>
          <w:sz w:val="19"/>
          <w:szCs w:val="19"/>
          <w:u w:val="none"/>
          <w:shd w:fill="auto" w:val="clear"/>
          <w:vertAlign w:val="baseline"/>
          <w:rtl w:val="0"/>
        </w:rPr>
        <w:t xml:space="preserve"> — owns MCR and risk pricing directly (Scenario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0"/>
          <w:strike w:val="0"/>
          <w:color w:val="12172b"/>
          <w:sz w:val="19"/>
          <w:szCs w:val="19"/>
          <w:u w:val="none"/>
          <w:shd w:fill="auto" w:val="clear"/>
          <w:vertAlign w:val="baseline"/>
          <w:rtl w:val="0"/>
        </w:rPr>
        <w:t xml:space="preserve">Provider Network Manager</w:t>
      </w:r>
      <w:r w:rsidDel="00000000" w:rsidR="00000000" w:rsidRPr="00000000">
        <w:rPr>
          <w:rFonts w:ascii="Calibri" w:cs="Calibri" w:eastAsia="Calibri" w:hAnsi="Calibri"/>
          <w:smallCaps w:val="0"/>
          <w:strike w:val="0"/>
          <w:color w:val="12172b"/>
          <w:sz w:val="19"/>
          <w:szCs w:val="19"/>
          <w:u w:val="none"/>
          <w:shd w:fill="auto" w:val="clear"/>
          <w:vertAlign w:val="baseline"/>
          <w:rtl w:val="0"/>
        </w:rPr>
        <w:t xml:space="preserve"> — manages the hospital/physician network (Scenario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0"/>
          <w:strike w:val="0"/>
          <w:color w:val="12172b"/>
          <w:sz w:val="19"/>
          <w:szCs w:val="19"/>
          <w:u w:val="none"/>
          <w:shd w:fill="auto" w:val="clear"/>
          <w:vertAlign w:val="baseline"/>
          <w:rtl w:val="0"/>
        </w:rPr>
        <w:t xml:space="preserve">Sales / Business Development Lead</w:t>
      </w:r>
      <w:r w:rsidDel="00000000" w:rsidR="00000000" w:rsidRPr="00000000">
        <w:rPr>
          <w:rFonts w:ascii="Calibri" w:cs="Calibri" w:eastAsia="Calibri" w:hAnsi="Calibri"/>
          <w:smallCaps w:val="0"/>
          <w:strike w:val="0"/>
          <w:color w:val="12172b"/>
          <w:sz w:val="19"/>
          <w:szCs w:val="19"/>
          <w:u w:val="none"/>
          <w:shd w:fill="auto" w:val="clear"/>
          <w:vertAlign w:val="baseline"/>
          <w:rtl w:val="0"/>
        </w:rPr>
        <w:t xml:space="preserve"> — owns deal-level win/loss data (Scenario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0"/>
          <w:strike w:val="0"/>
          <w:color w:val="12172b"/>
          <w:sz w:val="19"/>
          <w:szCs w:val="19"/>
          <w:u w:val="none"/>
          <w:shd w:fill="auto" w:val="clear"/>
          <w:vertAlign w:val="baseline"/>
          <w:rtl w:val="0"/>
        </w:rPr>
        <w:t xml:space="preserve">Finance Manager / FP&amp;A</w:t>
      </w:r>
      <w:r w:rsidDel="00000000" w:rsidR="00000000" w:rsidRPr="00000000">
        <w:rPr>
          <w:rFonts w:ascii="Calibri" w:cs="Calibri" w:eastAsia="Calibri" w:hAnsi="Calibri"/>
          <w:smallCaps w:val="0"/>
          <w:strike w:val="0"/>
          <w:color w:val="12172b"/>
          <w:sz w:val="19"/>
          <w:szCs w:val="19"/>
          <w:u w:val="none"/>
          <w:shd w:fill="auto" w:val="clear"/>
          <w:vertAlign w:val="baseline"/>
          <w:rtl w:val="0"/>
        </w:rPr>
        <w:t xml:space="preserve"> — owns margin, budget, and cost-to-serve (both scenarios)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2f5fe0" w:space="6" w:sz="6" w:val="single"/>
        </w:pBdr>
        <w:spacing w:after="160" w:before="3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f3f"/>
          <w:sz w:val="30"/>
          <w:szCs w:val="30"/>
          <w:rtl w:val="0"/>
        </w:rPr>
        <w:t xml:space="preserve">4. Questions &amp; Clarifications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2172b"/>
          <w:sz w:val="20"/>
          <w:szCs w:val="20"/>
          <w:rtl w:val="0"/>
        </w:rPr>
        <w:t xml:space="preserve">Before development begins, the following should be confirmed directly with Optum's leadership — asking these is standard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due diligence, not a sign of an incomplete proposal.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Does “winning / losing” mean market performance, line-of-business competition, or deal-level sales outcomes — or all three?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 MCR the right proxy for “savings opportunity,” or is there a different internal definition we should build 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One unified dashboard, or a family of views per line of business rolling up to an executive summary?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What's the existing BI/data stack, and who owns access to enrollment, claims, and financial systems?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Given HIPAA-</w:t>
      </w:r>
      <w:r w:rsidDel="00000000" w:rsidR="00000000" w:rsidRPr="00000000">
        <w:rPr>
          <w:rFonts w:ascii="Calibri" w:cs="Calibri" w:eastAsia="Calibri" w:hAnsi="Calibri"/>
          <w:color w:val="12172b"/>
          <w:sz w:val="20"/>
          <w:szCs w:val="20"/>
          <w:rtl w:val="0"/>
        </w:rPr>
        <w:t xml:space="preserve">adjacent data, what access and governance constraints apply even to internal-facing dashboards?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Bdr>
          <w:bottom w:color="2f5fe0" w:space="6" w:sz="6" w:val="single"/>
        </w:pBdr>
        <w:spacing w:after="160" w:before="3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f3f"/>
          <w:sz w:val="30"/>
          <w:szCs w:val="30"/>
          <w:rtl w:val="0"/>
        </w:rPr>
        <w:t xml:space="preserve">5. KPIs for 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2172b"/>
          <w:sz w:val="20"/>
          <w:szCs w:val="20"/>
          <w:rtl w:val="0"/>
        </w:rPr>
        <w:t xml:space="preserve">The CEO's dashboard is the executive rollup — the smallest set of numbers that answers “where are we winning, losing, and where's the savings” without requiring a drill-down. KPIs are shown for both scenarios, clearly labeled.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fe0"/>
          <w:sz w:val="22"/>
          <w:szCs w:val="22"/>
          <w:rtl w:val="0"/>
        </w:rPr>
        <w:t xml:space="preserve">Scenario A — Healthcare Performance (MCR-based)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2050"/>
        <w:gridCol w:w="2100"/>
        <w:tblGridChange w:id="0">
          <w:tblGrid>
            <w:gridCol w:w="2000"/>
            <w:gridCol w:w="3200"/>
            <w:gridCol w:w="2050"/>
            <w:gridCol w:w="2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0b1f3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0b1f3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0b1f3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0b1f3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Aggregation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2172b"/>
                <w:sz w:val="17"/>
                <w:szCs w:val="17"/>
                <w:rtl w:val="0"/>
              </w:rPr>
              <w:t xml:space="preserve">Total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Total enrolled members, all LOBs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Enrollment/Membership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DISTINCTCOUNT(MemberID) by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2172b"/>
                <w:sz w:val="17"/>
                <w:szCs w:val="17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Total premium revenue recognized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Financial/ERP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SUM(Revenue) by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2172b"/>
                <w:sz w:val="17"/>
                <w:szCs w:val="17"/>
                <w:rtl w:val="0"/>
              </w:rPr>
              <w:t xml:space="preserve">Medical Care Ratio (MCR)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% of premium revenue paid out in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Claims + Financial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DIVIDE(SUM(ClaimsCost), SUM(PremiumRevenue))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2172b"/>
                <w:sz w:val="17"/>
                <w:szCs w:val="17"/>
                <w:rtl w:val="0"/>
              </w:rPr>
              <w:t xml:space="preserve">Member Satisfaction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Aggregate member satisfaction (survey-based)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Member survey/CRM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AVERAGE(SatisfactionScore)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fe0"/>
          <w:sz w:val="22"/>
          <w:szCs w:val="22"/>
          <w:rtl w:val="0"/>
        </w:rPr>
        <w:t xml:space="preserve">Scenario B — Sales Pipeline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2050"/>
        <w:gridCol w:w="2100"/>
        <w:tblGridChange w:id="0">
          <w:tblGrid>
            <w:gridCol w:w="2000"/>
            <w:gridCol w:w="3200"/>
            <w:gridCol w:w="2050"/>
            <w:gridCol w:w="2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0b1f3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0b1f3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0b1f3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0b1f3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Aggregation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2172b"/>
                <w:sz w:val="17"/>
                <w:szCs w:val="17"/>
                <w:rtl w:val="0"/>
              </w:rPr>
              <w:t xml:space="preserve">Win Rate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Deals won / total deals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CRM (deal records)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DIVIDE(COUNT(Won), COUNT(Total closed))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2172b"/>
                <w:sz w:val="17"/>
                <w:szCs w:val="17"/>
                <w:rtl w:val="0"/>
              </w:rPr>
              <w:t xml:space="preserve">Loss Rate % by Competitor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Deals lost, by named competitor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CRM (competitor 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shd w:fill="f6f7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COUNT(Lost) by CompetitorID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2172b"/>
                <w:sz w:val="17"/>
                <w:szCs w:val="17"/>
                <w:rtl w:val="0"/>
              </w:rPr>
              <w:t xml:space="preserve">Pipeline Value by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Total deal value at each pipeline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CRM (deal records)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4ea" w:space="0" w:sz="4" w:val="single"/>
              <w:left w:color="e1e4ea" w:space="0" w:sz="4" w:val="single"/>
              <w:bottom w:color="e1e4ea" w:space="0" w:sz="4" w:val="single"/>
              <w:right w:color="e1e4ea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2172b"/>
                <w:sz w:val="17"/>
                <w:szCs w:val="17"/>
                <w:rtl w:val="0"/>
              </w:rPr>
              <w:t xml:space="preserve">SUM(DealValue) by PipelineStage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omXHR2w9Xqeh3lFf/6ziAxV/RQ==">CgMxLjA4AHIhMWFaUXdCNDFPYUZVOHcyWnNyWGFmSTVVeHg2eU9POTB5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2026-09-21T16:04:06.793Z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