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015EE" w14:textId="28806621" w:rsidR="00150236" w:rsidRDefault="00A83167" w:rsidP="00A83167">
      <w:pPr>
        <w:pStyle w:val="Title"/>
      </w:pPr>
      <w:r>
        <w:t>UK productivity</w:t>
      </w:r>
    </w:p>
    <w:p w14:paraId="77517B71" w14:textId="74C4AF37" w:rsidR="00A83167" w:rsidRDefault="00A83167" w:rsidP="00A8316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2D334D" wp14:editId="7E47F18E">
            <wp:simplePos x="0" y="0"/>
            <wp:positionH relativeFrom="column">
              <wp:posOffset>191729</wp:posOffset>
            </wp:positionH>
            <wp:positionV relativeFrom="paragraph">
              <wp:posOffset>214282</wp:posOffset>
            </wp:positionV>
            <wp:extent cx="5604906" cy="3269797"/>
            <wp:effectExtent l="0" t="0" r="15240" b="6985"/>
            <wp:wrapTopAndBottom/>
            <wp:docPr id="89414432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0D67AD2-17A7-4E1D-AC88-F989B84C60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6C91B0FA" w14:textId="5953893C" w:rsidR="00A83167" w:rsidRDefault="00A83167" w:rsidP="00A83167"/>
    <w:p w14:paraId="7EDC4B90" w14:textId="131C2257" w:rsidR="00A83167" w:rsidRDefault="00001BEA" w:rsidP="00A83167">
      <w:pPr>
        <w:pStyle w:val="ListParagraph"/>
        <w:numPr>
          <w:ilvl w:val="0"/>
          <w:numId w:val="1"/>
        </w:numPr>
      </w:pPr>
      <w:r>
        <w:t xml:space="preserve">Ignoring the </w:t>
      </w:r>
      <w:r w:rsidR="00D37248">
        <w:t xml:space="preserve">perturbation in the data caused by the pandemic </w:t>
      </w:r>
      <w:r w:rsidR="00751C6E">
        <w:t xml:space="preserve">from 2020 Q2-Q4 (with the </w:t>
      </w:r>
      <w:r w:rsidR="002874D8">
        <w:t>temporary</w:t>
      </w:r>
      <w:r w:rsidR="00751C6E">
        <w:t xml:space="preserve"> increase in productivity potentially caused by</w:t>
      </w:r>
      <w:r w:rsidR="00045031">
        <w:t xml:space="preserve"> low-productivity service industry </w:t>
      </w:r>
      <w:r w:rsidR="00332402">
        <w:t>employees</w:t>
      </w:r>
      <w:r w:rsidR="00045031">
        <w:t xml:space="preserve"> like hairdressers and cashiers </w:t>
      </w:r>
      <w:r w:rsidR="00332402">
        <w:t>being more likely to stop working than</w:t>
      </w:r>
      <w:r w:rsidR="002874D8">
        <w:t xml:space="preserve">, for example, those in the professional services sector who could </w:t>
      </w:r>
      <w:r w:rsidR="00D4458C">
        <w:t xml:space="preserve">continue to </w:t>
      </w:r>
      <w:r w:rsidR="002874D8">
        <w:t xml:space="preserve">do so </w:t>
      </w:r>
      <w:r w:rsidR="00D4458C">
        <w:t>from home</w:t>
      </w:r>
      <w:r w:rsidR="002874D8">
        <w:t>)</w:t>
      </w:r>
      <w:r w:rsidR="00D4458C">
        <w:t>, productivity growth post-2008</w:t>
      </w:r>
      <w:r w:rsidR="00FC464D">
        <w:t xml:space="preserve"> has been significantly weaker than over the </w:t>
      </w:r>
      <w:r w:rsidR="00230262">
        <w:t>course of the previous 35 years (the blue time series is below the dotted orange trendline).</w:t>
      </w:r>
    </w:p>
    <w:p w14:paraId="6A02DE3A" w14:textId="1B9DF8C3" w:rsidR="00230262" w:rsidRDefault="00342F76" w:rsidP="00A83167">
      <w:pPr>
        <w:pStyle w:val="ListParagraph"/>
        <w:numPr>
          <w:ilvl w:val="0"/>
          <w:numId w:val="1"/>
        </w:numPr>
      </w:pPr>
      <w:r>
        <w:t xml:space="preserve">The ONS </w:t>
      </w:r>
      <w:r w:rsidR="00AD1492">
        <w:t xml:space="preserve">projection of productivity growth extrapolates from </w:t>
      </w:r>
      <w:r w:rsidR="008F7053">
        <w:t>what was observed in roughly the decade pre-crisis. This leads to a larger</w:t>
      </w:r>
      <w:r w:rsidR="00002D5B">
        <w:t xml:space="preserve"> gap between what they call the “pre-crisis trend” and current productivity than is seen when comparing </w:t>
      </w:r>
      <w:r w:rsidR="000F2992">
        <w:t>current productivity to the trendline in my graph for (at least) two reasons. First, as we can see from my graph</w:t>
      </w:r>
      <w:r w:rsidR="00794259">
        <w:t xml:space="preserve">, productivity growth from 1999-2007 was </w:t>
      </w:r>
      <w:r w:rsidR="00EB1BD6">
        <w:t xml:space="preserve">faster than was historically the case (the blue line is steeper than the trendline in this period). </w:t>
      </w:r>
      <w:r w:rsidR="0047677C">
        <w:t xml:space="preserve">As a result, using this particularly rapid period of productivity growth as the pre-crisis trend will naturally lead one to conclude that the gap in productivity is larger. Also, since the trendline I am using is fitted to the entire dataset, rather than just the pre-crisis data, it is </w:t>
      </w:r>
      <w:r w:rsidR="00CE27D6">
        <w:t xml:space="preserve">pulled downwards by the very post-crisis data that we are trying to compare it to, making the gap between the curves smaller. For this reason, the ONS </w:t>
      </w:r>
      <w:r w:rsidR="00252987">
        <w:t xml:space="preserve">graph gives a better (or more useful) description of reality if we’re trying to </w:t>
      </w:r>
      <w:r w:rsidR="00832EA4">
        <w:t>compare</w:t>
      </w:r>
      <w:r w:rsidR="00252987">
        <w:t xml:space="preserve"> </w:t>
      </w:r>
      <w:r w:rsidR="00832EA4">
        <w:t>how much productivity has grown post-crisis compared to pre-crisis</w:t>
      </w:r>
      <w:r w:rsidR="00E1518D">
        <w:t>.</w:t>
      </w:r>
    </w:p>
    <w:p w14:paraId="2151384E" w14:textId="4AC40578" w:rsidR="00550B2B" w:rsidRPr="00550B2B" w:rsidRDefault="006F0921" w:rsidP="00A8316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One </w:t>
      </w:r>
      <w:r w:rsidR="0004438B">
        <w:t>potential reason for weak post-crisis productivity growth may be the low levels of investment in the economy.</w:t>
      </w:r>
      <w:r w:rsidR="00550B2B">
        <w:t xml:space="preserve"> Confidence in the economy may have been reduced by the 2008 crisis, leading to a smaller savings rate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8829E5">
        <w:rPr>
          <w:rFonts w:eastAsiaTheme="minorEastAsia"/>
        </w:rPr>
        <w:t xml:space="preserve">, which would in turn result in a lower steady-state level of capital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829E5">
        <w:rPr>
          <w:rFonts w:eastAsiaTheme="minorEastAsia"/>
        </w:rPr>
        <w:t xml:space="preserve"> according to the Solow model. </w:t>
      </w:r>
      <w:r w:rsidR="002C287C">
        <w:rPr>
          <w:rFonts w:eastAsiaTheme="minorEastAsia"/>
        </w:rPr>
        <w:t xml:space="preserve">Since more capital allows </w:t>
      </w:r>
      <w:r w:rsidR="00FD6544">
        <w:rPr>
          <w:rFonts w:eastAsiaTheme="minorEastAsia"/>
        </w:rPr>
        <w:t>more output to be</w:t>
      </w:r>
      <w:r w:rsidR="002C287C">
        <w:rPr>
          <w:rFonts w:eastAsiaTheme="minorEastAsia"/>
        </w:rPr>
        <w:t xml:space="preserve"> produce</w:t>
      </w:r>
      <w:r w:rsidR="00FD6544">
        <w:rPr>
          <w:rFonts w:eastAsiaTheme="minorEastAsia"/>
        </w:rPr>
        <w:t>d</w:t>
      </w:r>
      <w:r w:rsidR="002C287C">
        <w:rPr>
          <w:rFonts w:eastAsiaTheme="minorEastAsia"/>
        </w:rPr>
        <w:t xml:space="preserve"> for every hour of labour</w:t>
      </w:r>
      <w:r w:rsidR="00FD6544">
        <w:rPr>
          <w:rFonts w:eastAsiaTheme="minorEastAsia"/>
        </w:rPr>
        <w:t xml:space="preserve"> (by a Cobb-Douglas production </w:t>
      </w:r>
      <w:r w:rsidR="00FD6544">
        <w:rPr>
          <w:rFonts w:eastAsiaTheme="minorEastAsia"/>
        </w:rPr>
        <w:lastRenderedPageBreak/>
        <w:t xml:space="preserve">function of the form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1-α</m:t>
            </m:r>
          </m:sup>
        </m:sSup>
      </m:oMath>
      <w:r w:rsidR="003E477D">
        <w:rPr>
          <w:rFonts w:eastAsiaTheme="minorEastAsia"/>
        </w:rPr>
        <w:t>)</w:t>
      </w:r>
      <w:r w:rsidR="002C287C">
        <w:rPr>
          <w:rFonts w:eastAsiaTheme="minorEastAsia"/>
        </w:rPr>
        <w:t xml:space="preserve">, </w:t>
      </w:r>
      <w:r w:rsidR="00F1795E">
        <w:rPr>
          <w:rFonts w:eastAsiaTheme="minorEastAsia"/>
        </w:rPr>
        <w:t xml:space="preserve">dampened </w:t>
      </w:r>
      <w:r w:rsidR="00DB0420">
        <w:rPr>
          <w:rFonts w:eastAsiaTheme="minorEastAsia"/>
        </w:rPr>
        <w:t>business confidence</w:t>
      </w:r>
      <w:r w:rsidR="003E477D">
        <w:rPr>
          <w:rFonts w:eastAsiaTheme="minorEastAsia"/>
        </w:rPr>
        <w:t xml:space="preserve"> </w:t>
      </w:r>
      <w:r w:rsidR="00DB0420">
        <w:rPr>
          <w:rFonts w:eastAsiaTheme="minorEastAsia"/>
        </w:rPr>
        <w:t>c</w:t>
      </w:r>
      <w:r w:rsidR="003E477D">
        <w:rPr>
          <w:rFonts w:eastAsiaTheme="minorEastAsia"/>
        </w:rPr>
        <w:t xml:space="preserve">ould translate into </w:t>
      </w:r>
      <w:r w:rsidR="000303C8">
        <w:rPr>
          <w:rFonts w:eastAsiaTheme="minorEastAsia"/>
        </w:rPr>
        <w:t>weaker productivity growth</w:t>
      </w:r>
      <w:r w:rsidR="00A31CDD">
        <w:rPr>
          <w:rFonts w:eastAsiaTheme="minorEastAsia"/>
        </w:rPr>
        <w:t xml:space="preserve"> by</w:t>
      </w:r>
      <w:r w:rsidR="00AB20C7">
        <w:rPr>
          <w:rFonts w:eastAsiaTheme="minorEastAsia"/>
        </w:rPr>
        <w:t xml:space="preserve"> inhibiting the development of new ideas by workers in the idea portion of the economy (as described in the Romer model)</w:t>
      </w:r>
      <w:r w:rsidR="000303C8">
        <w:rPr>
          <w:rFonts w:eastAsiaTheme="minorEastAsia"/>
        </w:rPr>
        <w:t>.</w:t>
      </w:r>
      <w:r w:rsidR="00533105">
        <w:rPr>
          <w:rFonts w:eastAsiaTheme="minorEastAsia"/>
        </w:rPr>
        <w:t xml:space="preserve"> Also, there may be lasting effects from the 2008 crisis due to hysteresis</w:t>
      </w:r>
      <w:r w:rsidR="00353179">
        <w:rPr>
          <w:rFonts w:eastAsiaTheme="minorEastAsia"/>
        </w:rPr>
        <w:t xml:space="preserve"> – if workers who became temporarily unemployed suffered from a permanent atrophying in their skills, we might see productivity growth remain weak even after the shock is over.</w:t>
      </w:r>
    </w:p>
    <w:p w14:paraId="2A89A794" w14:textId="77777777" w:rsidR="00266C54" w:rsidRPr="00266C54" w:rsidRDefault="00FB616A" w:rsidP="00A8316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AF79B6" wp14:editId="7FAB2842">
            <wp:simplePos x="0" y="0"/>
            <wp:positionH relativeFrom="column">
              <wp:posOffset>452306</wp:posOffset>
            </wp:positionH>
            <wp:positionV relativeFrom="paragraph">
              <wp:posOffset>224032</wp:posOffset>
            </wp:positionV>
            <wp:extent cx="5604907" cy="3269797"/>
            <wp:effectExtent l="0" t="0" r="15240" b="6985"/>
            <wp:wrapTopAndBottom/>
            <wp:docPr id="17933848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797EFE-8342-6F95-FC2A-50AF3683C2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04438B">
        <w:t xml:space="preserve"> </w:t>
      </w:r>
      <w:r>
        <w:br/>
      </w:r>
    </w:p>
    <w:p w14:paraId="2A48E3A5" w14:textId="79E4ABB6" w:rsidR="008138E1" w:rsidRPr="00550B2B" w:rsidRDefault="00FB616A" w:rsidP="00266C54">
      <w:pPr>
        <w:pStyle w:val="ListParagraph"/>
        <w:ind w:left="1080"/>
        <w:rPr>
          <w:rFonts w:eastAsiaTheme="minorEastAsia"/>
        </w:rPr>
      </w:pPr>
      <w:r>
        <w:t xml:space="preserve">There is a </w:t>
      </w:r>
      <w:r w:rsidR="00266C54">
        <w:t xml:space="preserve">sudden drop in output per worker </w:t>
      </w:r>
      <w:r w:rsidR="00DD2569">
        <w:t>during the pandemic</w:t>
      </w:r>
      <w:r w:rsidR="00CB5837">
        <w:t>, which is considerably larger than the drop in output per hour worked</w:t>
      </w:r>
      <w:r w:rsidR="00DD2569">
        <w:t>.</w:t>
      </w:r>
      <w:r w:rsidR="00CB5837">
        <w:t xml:space="preserve"> At first, this might seem surprising, but realising that many workers were furloughed by their employers helps to explain the difference. The</w:t>
      </w:r>
      <w:r w:rsidR="00B23B1C">
        <w:t xml:space="preserve"> ONS</w:t>
      </w:r>
      <w:r w:rsidR="00FF71FD">
        <w:t xml:space="preserve"> says that</w:t>
      </w:r>
      <w:r w:rsidR="00B23B1C">
        <w:t xml:space="preserve"> “</w:t>
      </w:r>
      <w:r w:rsidR="00B23B1C" w:rsidRPr="00B23B1C">
        <w:t>employees who are furloughed will be classified as employed, but temporarily away from work</w:t>
      </w:r>
      <w:r w:rsidR="00FF71FD">
        <w:t>.” This means that although many fewer hours were worked, there would not be a corresponding reduction in the number of workers</w:t>
      </w:r>
      <w:r w:rsidR="00D567BC">
        <w:t xml:space="preserve">, since all those furloughed still counted as employees. </w:t>
      </w:r>
      <w:r w:rsidR="00D705AA">
        <w:t xml:space="preserve">The rapid recovery of output per worker is also not particularly surprising – once government-mandated restrictions on businesses were eased, and </w:t>
      </w:r>
      <w:r w:rsidR="00CA7AE1">
        <w:t xml:space="preserve">firms adjusted to the new ways of operating (e.g. with remote working or other adaptations), </w:t>
      </w:r>
      <w:r w:rsidR="00687839">
        <w:t>workers could return from furlough and be much more productive than producing no output at all.</w:t>
      </w:r>
    </w:p>
    <w:sectPr w:rsidR="008138E1" w:rsidRPr="00550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919A8"/>
    <w:multiLevelType w:val="hybridMultilevel"/>
    <w:tmpl w:val="7A22C7A4"/>
    <w:lvl w:ilvl="0" w:tplc="65606A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08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67"/>
    <w:rsid w:val="00001BEA"/>
    <w:rsid w:val="00002D5B"/>
    <w:rsid w:val="000303C8"/>
    <w:rsid w:val="0004438B"/>
    <w:rsid w:val="00045031"/>
    <w:rsid w:val="000F2992"/>
    <w:rsid w:val="00150236"/>
    <w:rsid w:val="00230262"/>
    <w:rsid w:val="00252987"/>
    <w:rsid w:val="00266C54"/>
    <w:rsid w:val="002874D8"/>
    <w:rsid w:val="002C287C"/>
    <w:rsid w:val="00332402"/>
    <w:rsid w:val="00342F76"/>
    <w:rsid w:val="00353179"/>
    <w:rsid w:val="003E477D"/>
    <w:rsid w:val="0047677C"/>
    <w:rsid w:val="00533105"/>
    <w:rsid w:val="00550B2B"/>
    <w:rsid w:val="006877AD"/>
    <w:rsid w:val="00687839"/>
    <w:rsid w:val="006F0921"/>
    <w:rsid w:val="00751C6E"/>
    <w:rsid w:val="00794259"/>
    <w:rsid w:val="008138E1"/>
    <w:rsid w:val="00832EA4"/>
    <w:rsid w:val="008829E5"/>
    <w:rsid w:val="008F7053"/>
    <w:rsid w:val="00A31CDD"/>
    <w:rsid w:val="00A83167"/>
    <w:rsid w:val="00AB20C7"/>
    <w:rsid w:val="00AD1492"/>
    <w:rsid w:val="00B23B1C"/>
    <w:rsid w:val="00B4244A"/>
    <w:rsid w:val="00B642EB"/>
    <w:rsid w:val="00C239DD"/>
    <w:rsid w:val="00CA7AE1"/>
    <w:rsid w:val="00CB5837"/>
    <w:rsid w:val="00CE27D6"/>
    <w:rsid w:val="00D37248"/>
    <w:rsid w:val="00D4458C"/>
    <w:rsid w:val="00D567BC"/>
    <w:rsid w:val="00D705AA"/>
    <w:rsid w:val="00DB0420"/>
    <w:rsid w:val="00DD2569"/>
    <w:rsid w:val="00E1518D"/>
    <w:rsid w:val="00EB1BD6"/>
    <w:rsid w:val="00F1795E"/>
    <w:rsid w:val="00FB11AC"/>
    <w:rsid w:val="00FB616A"/>
    <w:rsid w:val="00FC464D"/>
    <w:rsid w:val="00FD6544"/>
    <w:rsid w:val="00FE09E1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9ABF"/>
  <w15:chartTrackingRefBased/>
  <w15:docId w15:val="{DA81431E-39B7-4A4E-95BE-B40622D6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31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0B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oxfordnexus-my.sharepoint.com/personal/mert4919_ox_ac_uk/Documents/Documents/Economics/Macro/Problem%20sheets/1%20-%20productivit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oxfordnexus-my.sharepoint.com/personal/mert4919_ox_ac_uk/Documents/Documents/Economics/Macro/Problem%20sheets/1%20-%20productivit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baseline="0">
                <a:effectLst/>
              </a:rPr>
              <a:t>UK Whole Economy: Output per hour worked</a:t>
            </a:r>
          </a:p>
          <a:p>
            <a:pPr>
              <a:defRPr/>
            </a:pPr>
            <a:r>
              <a:rPr lang="en-GB" sz="1400" b="0" i="0" u="none" strike="noStrike" baseline="0">
                <a:effectLst/>
              </a:rPr>
              <a:t>2019 = 100</a:t>
            </a:r>
            <a:r>
              <a:rPr lang="en-GB" sz="1400" b="0" i="0" u="none" strike="noStrike" baseline="0"/>
              <a:t>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9.3662950087914087E-3"/>
                  <c:y val="0.1247908745247148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'[1 - productivity.xlsx]selection'!$A$3:$A$213</c:f>
              <c:strCache>
                <c:ptCount val="211"/>
                <c:pt idx="0">
                  <c:v>1971 Q1</c:v>
                </c:pt>
                <c:pt idx="1">
                  <c:v>1971 Q2</c:v>
                </c:pt>
                <c:pt idx="2">
                  <c:v>1971 Q3</c:v>
                </c:pt>
                <c:pt idx="3">
                  <c:v>1971 Q4</c:v>
                </c:pt>
                <c:pt idx="4">
                  <c:v>1972 Q1</c:v>
                </c:pt>
                <c:pt idx="5">
                  <c:v>1972 Q2</c:v>
                </c:pt>
                <c:pt idx="6">
                  <c:v>1972 Q3</c:v>
                </c:pt>
                <c:pt idx="7">
                  <c:v>1972 Q4</c:v>
                </c:pt>
                <c:pt idx="8">
                  <c:v>1973 Q1</c:v>
                </c:pt>
                <c:pt idx="9">
                  <c:v>1973 Q2</c:v>
                </c:pt>
                <c:pt idx="10">
                  <c:v>1973 Q3</c:v>
                </c:pt>
                <c:pt idx="11">
                  <c:v>1973 Q4</c:v>
                </c:pt>
                <c:pt idx="12">
                  <c:v>1974 Q1</c:v>
                </c:pt>
                <c:pt idx="13">
                  <c:v>1974 Q2</c:v>
                </c:pt>
                <c:pt idx="14">
                  <c:v>1974 Q3</c:v>
                </c:pt>
                <c:pt idx="15">
                  <c:v>1974 Q4</c:v>
                </c:pt>
                <c:pt idx="16">
                  <c:v>1975 Q1</c:v>
                </c:pt>
                <c:pt idx="17">
                  <c:v>1975 Q2</c:v>
                </c:pt>
                <c:pt idx="18">
                  <c:v>1975 Q3</c:v>
                </c:pt>
                <c:pt idx="19">
                  <c:v>1975 Q4</c:v>
                </c:pt>
                <c:pt idx="20">
                  <c:v>1976 Q1</c:v>
                </c:pt>
                <c:pt idx="21">
                  <c:v>1976 Q2</c:v>
                </c:pt>
                <c:pt idx="22">
                  <c:v>1976 Q3</c:v>
                </c:pt>
                <c:pt idx="23">
                  <c:v>1976 Q4</c:v>
                </c:pt>
                <c:pt idx="24">
                  <c:v>1977 Q1</c:v>
                </c:pt>
                <c:pt idx="25">
                  <c:v>1977 Q2</c:v>
                </c:pt>
                <c:pt idx="26">
                  <c:v>1977 Q3</c:v>
                </c:pt>
                <c:pt idx="27">
                  <c:v>1977 Q4</c:v>
                </c:pt>
                <c:pt idx="28">
                  <c:v>1978 Q1</c:v>
                </c:pt>
                <c:pt idx="29">
                  <c:v>1978 Q2</c:v>
                </c:pt>
                <c:pt idx="30">
                  <c:v>1978 Q3</c:v>
                </c:pt>
                <c:pt idx="31">
                  <c:v>1978 Q4</c:v>
                </c:pt>
                <c:pt idx="32">
                  <c:v>1979 Q1</c:v>
                </c:pt>
                <c:pt idx="33">
                  <c:v>1979 Q2</c:v>
                </c:pt>
                <c:pt idx="34">
                  <c:v>1979 Q3</c:v>
                </c:pt>
                <c:pt idx="35">
                  <c:v>1979 Q4</c:v>
                </c:pt>
                <c:pt idx="36">
                  <c:v>1980 Q1</c:v>
                </c:pt>
                <c:pt idx="37">
                  <c:v>1980 Q2</c:v>
                </c:pt>
                <c:pt idx="38">
                  <c:v>1980 Q3</c:v>
                </c:pt>
                <c:pt idx="39">
                  <c:v>1980 Q4</c:v>
                </c:pt>
                <c:pt idx="40">
                  <c:v>1981 Q1</c:v>
                </c:pt>
                <c:pt idx="41">
                  <c:v>1981 Q2</c:v>
                </c:pt>
                <c:pt idx="42">
                  <c:v>1981 Q3</c:v>
                </c:pt>
                <c:pt idx="43">
                  <c:v>1981 Q4</c:v>
                </c:pt>
                <c:pt idx="44">
                  <c:v>1982 Q1</c:v>
                </c:pt>
                <c:pt idx="45">
                  <c:v>1982 Q2</c:v>
                </c:pt>
                <c:pt idx="46">
                  <c:v>1982 Q3</c:v>
                </c:pt>
                <c:pt idx="47">
                  <c:v>1982 Q4</c:v>
                </c:pt>
                <c:pt idx="48">
                  <c:v>1983 Q1</c:v>
                </c:pt>
                <c:pt idx="49">
                  <c:v>1983 Q2</c:v>
                </c:pt>
                <c:pt idx="50">
                  <c:v>1983 Q3</c:v>
                </c:pt>
                <c:pt idx="51">
                  <c:v>1983 Q4</c:v>
                </c:pt>
                <c:pt idx="52">
                  <c:v>1984 Q1</c:v>
                </c:pt>
                <c:pt idx="53">
                  <c:v>1984 Q2</c:v>
                </c:pt>
                <c:pt idx="54">
                  <c:v>1984 Q3</c:v>
                </c:pt>
                <c:pt idx="55">
                  <c:v>1984 Q4</c:v>
                </c:pt>
                <c:pt idx="56">
                  <c:v>1985 Q1</c:v>
                </c:pt>
                <c:pt idx="57">
                  <c:v>1985 Q2</c:v>
                </c:pt>
                <c:pt idx="58">
                  <c:v>1985 Q3</c:v>
                </c:pt>
                <c:pt idx="59">
                  <c:v>1985 Q4</c:v>
                </c:pt>
                <c:pt idx="60">
                  <c:v>1986 Q1</c:v>
                </c:pt>
                <c:pt idx="61">
                  <c:v>1986 Q2</c:v>
                </c:pt>
                <c:pt idx="62">
                  <c:v>1986 Q3</c:v>
                </c:pt>
                <c:pt idx="63">
                  <c:v>1986 Q4</c:v>
                </c:pt>
                <c:pt idx="64">
                  <c:v>1987 Q1</c:v>
                </c:pt>
                <c:pt idx="65">
                  <c:v>1987 Q2</c:v>
                </c:pt>
                <c:pt idx="66">
                  <c:v>1987 Q3</c:v>
                </c:pt>
                <c:pt idx="67">
                  <c:v>1987 Q4</c:v>
                </c:pt>
                <c:pt idx="68">
                  <c:v>1988 Q1</c:v>
                </c:pt>
                <c:pt idx="69">
                  <c:v>1988 Q2</c:v>
                </c:pt>
                <c:pt idx="70">
                  <c:v>1988 Q3</c:v>
                </c:pt>
                <c:pt idx="71">
                  <c:v>1988 Q4</c:v>
                </c:pt>
                <c:pt idx="72">
                  <c:v>1989 Q1</c:v>
                </c:pt>
                <c:pt idx="73">
                  <c:v>1989 Q2</c:v>
                </c:pt>
                <c:pt idx="74">
                  <c:v>1989 Q3</c:v>
                </c:pt>
                <c:pt idx="75">
                  <c:v>1989 Q4</c:v>
                </c:pt>
                <c:pt idx="76">
                  <c:v>1990 Q1</c:v>
                </c:pt>
                <c:pt idx="77">
                  <c:v>1990 Q2</c:v>
                </c:pt>
                <c:pt idx="78">
                  <c:v>1990 Q3</c:v>
                </c:pt>
                <c:pt idx="79">
                  <c:v>1990 Q4</c:v>
                </c:pt>
                <c:pt idx="80">
                  <c:v>1991 Q1</c:v>
                </c:pt>
                <c:pt idx="81">
                  <c:v>1991 Q2</c:v>
                </c:pt>
                <c:pt idx="82">
                  <c:v>1991 Q3</c:v>
                </c:pt>
                <c:pt idx="83">
                  <c:v>1991 Q4</c:v>
                </c:pt>
                <c:pt idx="84">
                  <c:v>1992 Q1</c:v>
                </c:pt>
                <c:pt idx="85">
                  <c:v>1992 Q2</c:v>
                </c:pt>
                <c:pt idx="86">
                  <c:v>1992 Q3</c:v>
                </c:pt>
                <c:pt idx="87">
                  <c:v>1992 Q4</c:v>
                </c:pt>
                <c:pt idx="88">
                  <c:v>1993 Q1</c:v>
                </c:pt>
                <c:pt idx="89">
                  <c:v>1993 Q2</c:v>
                </c:pt>
                <c:pt idx="90">
                  <c:v>1993 Q3</c:v>
                </c:pt>
                <c:pt idx="91">
                  <c:v>1993 Q4</c:v>
                </c:pt>
                <c:pt idx="92">
                  <c:v>1994 Q1</c:v>
                </c:pt>
                <c:pt idx="93">
                  <c:v>1994 Q2</c:v>
                </c:pt>
                <c:pt idx="94">
                  <c:v>1994 Q3</c:v>
                </c:pt>
                <c:pt idx="95">
                  <c:v>1994 Q4</c:v>
                </c:pt>
                <c:pt idx="96">
                  <c:v>1995 Q1</c:v>
                </c:pt>
                <c:pt idx="97">
                  <c:v>1995 Q2</c:v>
                </c:pt>
                <c:pt idx="98">
                  <c:v>1995 Q3</c:v>
                </c:pt>
                <c:pt idx="99">
                  <c:v>1995 Q4</c:v>
                </c:pt>
                <c:pt idx="100">
                  <c:v>1996 Q1</c:v>
                </c:pt>
                <c:pt idx="101">
                  <c:v>1996 Q2</c:v>
                </c:pt>
                <c:pt idx="102">
                  <c:v>1996 Q3</c:v>
                </c:pt>
                <c:pt idx="103">
                  <c:v>1996 Q4</c:v>
                </c:pt>
                <c:pt idx="104">
                  <c:v>1997 Q1</c:v>
                </c:pt>
                <c:pt idx="105">
                  <c:v>1997 Q2</c:v>
                </c:pt>
                <c:pt idx="106">
                  <c:v>1997 Q3</c:v>
                </c:pt>
                <c:pt idx="107">
                  <c:v>1997 Q4</c:v>
                </c:pt>
                <c:pt idx="108">
                  <c:v>1998 Q1</c:v>
                </c:pt>
                <c:pt idx="109">
                  <c:v>1998 Q2</c:v>
                </c:pt>
                <c:pt idx="110">
                  <c:v>1998 Q3</c:v>
                </c:pt>
                <c:pt idx="111">
                  <c:v>1998 Q4</c:v>
                </c:pt>
                <c:pt idx="112">
                  <c:v>1999 Q1</c:v>
                </c:pt>
                <c:pt idx="113">
                  <c:v>1999 Q2</c:v>
                </c:pt>
                <c:pt idx="114">
                  <c:v>1999 Q3</c:v>
                </c:pt>
                <c:pt idx="115">
                  <c:v>1999 Q4</c:v>
                </c:pt>
                <c:pt idx="116">
                  <c:v>2000 Q1</c:v>
                </c:pt>
                <c:pt idx="117">
                  <c:v>2000 Q2</c:v>
                </c:pt>
                <c:pt idx="118">
                  <c:v>2000 Q3</c:v>
                </c:pt>
                <c:pt idx="119">
                  <c:v>2000 Q4</c:v>
                </c:pt>
                <c:pt idx="120">
                  <c:v>2001 Q1</c:v>
                </c:pt>
                <c:pt idx="121">
                  <c:v>2001 Q2</c:v>
                </c:pt>
                <c:pt idx="122">
                  <c:v>2001 Q3</c:v>
                </c:pt>
                <c:pt idx="123">
                  <c:v>2001 Q4</c:v>
                </c:pt>
                <c:pt idx="124">
                  <c:v>2002 Q1</c:v>
                </c:pt>
                <c:pt idx="125">
                  <c:v>2002 Q2</c:v>
                </c:pt>
                <c:pt idx="126">
                  <c:v>2002 Q3</c:v>
                </c:pt>
                <c:pt idx="127">
                  <c:v>2002 Q4</c:v>
                </c:pt>
                <c:pt idx="128">
                  <c:v>2003 Q1</c:v>
                </c:pt>
                <c:pt idx="129">
                  <c:v>2003 Q2</c:v>
                </c:pt>
                <c:pt idx="130">
                  <c:v>2003 Q3</c:v>
                </c:pt>
                <c:pt idx="131">
                  <c:v>2003 Q4</c:v>
                </c:pt>
                <c:pt idx="132">
                  <c:v>2004 Q1</c:v>
                </c:pt>
                <c:pt idx="133">
                  <c:v>2004 Q2</c:v>
                </c:pt>
                <c:pt idx="134">
                  <c:v>2004 Q3</c:v>
                </c:pt>
                <c:pt idx="135">
                  <c:v>2004 Q4</c:v>
                </c:pt>
                <c:pt idx="136">
                  <c:v>2005 Q1</c:v>
                </c:pt>
                <c:pt idx="137">
                  <c:v>2005 Q2</c:v>
                </c:pt>
                <c:pt idx="138">
                  <c:v>2005 Q3</c:v>
                </c:pt>
                <c:pt idx="139">
                  <c:v>2005 Q4</c:v>
                </c:pt>
                <c:pt idx="140">
                  <c:v>2006 Q1</c:v>
                </c:pt>
                <c:pt idx="141">
                  <c:v>2006 Q2</c:v>
                </c:pt>
                <c:pt idx="142">
                  <c:v>2006 Q3</c:v>
                </c:pt>
                <c:pt idx="143">
                  <c:v>2006 Q4</c:v>
                </c:pt>
                <c:pt idx="144">
                  <c:v>2007 Q1</c:v>
                </c:pt>
                <c:pt idx="145">
                  <c:v>2007 Q2</c:v>
                </c:pt>
                <c:pt idx="146">
                  <c:v>2007 Q3</c:v>
                </c:pt>
                <c:pt idx="147">
                  <c:v>2007 Q4</c:v>
                </c:pt>
                <c:pt idx="148">
                  <c:v>2008 Q1</c:v>
                </c:pt>
                <c:pt idx="149">
                  <c:v>2008 Q2</c:v>
                </c:pt>
                <c:pt idx="150">
                  <c:v>2008 Q3</c:v>
                </c:pt>
                <c:pt idx="151">
                  <c:v>2008 Q4</c:v>
                </c:pt>
                <c:pt idx="152">
                  <c:v>2009 Q1</c:v>
                </c:pt>
                <c:pt idx="153">
                  <c:v>2009 Q2</c:v>
                </c:pt>
                <c:pt idx="154">
                  <c:v>2009 Q3</c:v>
                </c:pt>
                <c:pt idx="155">
                  <c:v>2009 Q4</c:v>
                </c:pt>
                <c:pt idx="156">
                  <c:v>2010 Q1</c:v>
                </c:pt>
                <c:pt idx="157">
                  <c:v>2010 Q2</c:v>
                </c:pt>
                <c:pt idx="158">
                  <c:v>2010 Q3</c:v>
                </c:pt>
                <c:pt idx="159">
                  <c:v>2010 Q4</c:v>
                </c:pt>
                <c:pt idx="160">
                  <c:v>2011 Q1</c:v>
                </c:pt>
                <c:pt idx="161">
                  <c:v>2011 Q2</c:v>
                </c:pt>
                <c:pt idx="162">
                  <c:v>2011 Q3</c:v>
                </c:pt>
                <c:pt idx="163">
                  <c:v>2011 Q4</c:v>
                </c:pt>
                <c:pt idx="164">
                  <c:v>2012 Q1</c:v>
                </c:pt>
                <c:pt idx="165">
                  <c:v>2012 Q2</c:v>
                </c:pt>
                <c:pt idx="166">
                  <c:v>2012 Q3</c:v>
                </c:pt>
                <c:pt idx="167">
                  <c:v>2012 Q4</c:v>
                </c:pt>
                <c:pt idx="168">
                  <c:v>2013 Q1</c:v>
                </c:pt>
                <c:pt idx="169">
                  <c:v>2013 Q2</c:v>
                </c:pt>
                <c:pt idx="170">
                  <c:v>2013 Q3</c:v>
                </c:pt>
                <c:pt idx="171">
                  <c:v>2013 Q4</c:v>
                </c:pt>
                <c:pt idx="172">
                  <c:v>2014 Q1</c:v>
                </c:pt>
                <c:pt idx="173">
                  <c:v>2014 Q2</c:v>
                </c:pt>
                <c:pt idx="174">
                  <c:v>2014 Q3</c:v>
                </c:pt>
                <c:pt idx="175">
                  <c:v>2014 Q4</c:v>
                </c:pt>
                <c:pt idx="176">
                  <c:v>2015 Q1</c:v>
                </c:pt>
                <c:pt idx="177">
                  <c:v>2015 Q2</c:v>
                </c:pt>
                <c:pt idx="178">
                  <c:v>2015 Q3</c:v>
                </c:pt>
                <c:pt idx="179">
                  <c:v>2015 Q4</c:v>
                </c:pt>
                <c:pt idx="180">
                  <c:v>2016 Q1</c:v>
                </c:pt>
                <c:pt idx="181">
                  <c:v>2016 Q2</c:v>
                </c:pt>
                <c:pt idx="182">
                  <c:v>2016 Q3</c:v>
                </c:pt>
                <c:pt idx="183">
                  <c:v>2016 Q4</c:v>
                </c:pt>
                <c:pt idx="184">
                  <c:v>2017 Q1</c:v>
                </c:pt>
                <c:pt idx="185">
                  <c:v>2017 Q2</c:v>
                </c:pt>
                <c:pt idx="186">
                  <c:v>2017 Q3</c:v>
                </c:pt>
                <c:pt idx="187">
                  <c:v>2017 Q4</c:v>
                </c:pt>
                <c:pt idx="188">
                  <c:v>2018 Q1</c:v>
                </c:pt>
                <c:pt idx="189">
                  <c:v>2018 Q2</c:v>
                </c:pt>
                <c:pt idx="190">
                  <c:v>2018 Q3</c:v>
                </c:pt>
                <c:pt idx="191">
                  <c:v>2018 Q4</c:v>
                </c:pt>
                <c:pt idx="192">
                  <c:v>2019 Q1</c:v>
                </c:pt>
                <c:pt idx="193">
                  <c:v>2019 Q2</c:v>
                </c:pt>
                <c:pt idx="194">
                  <c:v>2019 Q3</c:v>
                </c:pt>
                <c:pt idx="195">
                  <c:v>2019 Q4</c:v>
                </c:pt>
                <c:pt idx="196">
                  <c:v>2020 Q1</c:v>
                </c:pt>
                <c:pt idx="197">
                  <c:v>2020 Q2</c:v>
                </c:pt>
                <c:pt idx="198">
                  <c:v>2020 Q3</c:v>
                </c:pt>
                <c:pt idx="199">
                  <c:v>2020 Q4</c:v>
                </c:pt>
                <c:pt idx="200">
                  <c:v>2021 Q1</c:v>
                </c:pt>
                <c:pt idx="201">
                  <c:v>2021 Q2</c:v>
                </c:pt>
                <c:pt idx="202">
                  <c:v>2021 Q3</c:v>
                </c:pt>
                <c:pt idx="203">
                  <c:v>2021 Q4</c:v>
                </c:pt>
                <c:pt idx="204">
                  <c:v>2022 Q1</c:v>
                </c:pt>
                <c:pt idx="205">
                  <c:v>2022 Q2</c:v>
                </c:pt>
                <c:pt idx="206">
                  <c:v>2022 Q3</c:v>
                </c:pt>
                <c:pt idx="207">
                  <c:v>2022 Q4</c:v>
                </c:pt>
                <c:pt idx="208">
                  <c:v>2023 Q1</c:v>
                </c:pt>
                <c:pt idx="209">
                  <c:v>2023 Q2</c:v>
                </c:pt>
                <c:pt idx="210">
                  <c:v>2023 Q3</c:v>
                </c:pt>
              </c:strCache>
            </c:strRef>
          </c:cat>
          <c:val>
            <c:numRef>
              <c:f>'[1 - productivity.xlsx]selection'!$B$3:$B$213</c:f>
              <c:numCache>
                <c:formatCode>General</c:formatCode>
                <c:ptCount val="211"/>
                <c:pt idx="0">
                  <c:v>42.6</c:v>
                </c:pt>
                <c:pt idx="1">
                  <c:v>43.4</c:v>
                </c:pt>
                <c:pt idx="2">
                  <c:v>44.2</c:v>
                </c:pt>
                <c:pt idx="3">
                  <c:v>44.5</c:v>
                </c:pt>
                <c:pt idx="4">
                  <c:v>44.2</c:v>
                </c:pt>
                <c:pt idx="5">
                  <c:v>45</c:v>
                </c:pt>
                <c:pt idx="6">
                  <c:v>45.1</c:v>
                </c:pt>
                <c:pt idx="7">
                  <c:v>45.6</c:v>
                </c:pt>
                <c:pt idx="8">
                  <c:v>47.4</c:v>
                </c:pt>
                <c:pt idx="9">
                  <c:v>47.4</c:v>
                </c:pt>
                <c:pt idx="10">
                  <c:v>46.9</c:v>
                </c:pt>
                <c:pt idx="11">
                  <c:v>46.7</c:v>
                </c:pt>
                <c:pt idx="12">
                  <c:v>45.6</c:v>
                </c:pt>
                <c:pt idx="13">
                  <c:v>46.3</c:v>
                </c:pt>
                <c:pt idx="14">
                  <c:v>46.8</c:v>
                </c:pt>
                <c:pt idx="15">
                  <c:v>46.3</c:v>
                </c:pt>
                <c:pt idx="16">
                  <c:v>46.7</c:v>
                </c:pt>
                <c:pt idx="17">
                  <c:v>46.2</c:v>
                </c:pt>
                <c:pt idx="18">
                  <c:v>46.2</c:v>
                </c:pt>
                <c:pt idx="19">
                  <c:v>47</c:v>
                </c:pt>
                <c:pt idx="20">
                  <c:v>47.9</c:v>
                </c:pt>
                <c:pt idx="21">
                  <c:v>47.8</c:v>
                </c:pt>
                <c:pt idx="22">
                  <c:v>48.4</c:v>
                </c:pt>
                <c:pt idx="23">
                  <c:v>49.2</c:v>
                </c:pt>
                <c:pt idx="24">
                  <c:v>49.3</c:v>
                </c:pt>
                <c:pt idx="25">
                  <c:v>48.7</c:v>
                </c:pt>
                <c:pt idx="26">
                  <c:v>48.9</c:v>
                </c:pt>
                <c:pt idx="27">
                  <c:v>49.6</c:v>
                </c:pt>
                <c:pt idx="28">
                  <c:v>50</c:v>
                </c:pt>
                <c:pt idx="29">
                  <c:v>50.4</c:v>
                </c:pt>
                <c:pt idx="30">
                  <c:v>51</c:v>
                </c:pt>
                <c:pt idx="31">
                  <c:v>51.1</c:v>
                </c:pt>
                <c:pt idx="32">
                  <c:v>50.7</c:v>
                </c:pt>
                <c:pt idx="33">
                  <c:v>52.7</c:v>
                </c:pt>
                <c:pt idx="34">
                  <c:v>51.8</c:v>
                </c:pt>
                <c:pt idx="35">
                  <c:v>52.2</c:v>
                </c:pt>
                <c:pt idx="36">
                  <c:v>51.8</c:v>
                </c:pt>
                <c:pt idx="37">
                  <c:v>51.5</c:v>
                </c:pt>
                <c:pt idx="38">
                  <c:v>52.1</c:v>
                </c:pt>
                <c:pt idx="39">
                  <c:v>52.2</c:v>
                </c:pt>
                <c:pt idx="40">
                  <c:v>52.9</c:v>
                </c:pt>
                <c:pt idx="41">
                  <c:v>53.8</c:v>
                </c:pt>
                <c:pt idx="42">
                  <c:v>54.8</c:v>
                </c:pt>
                <c:pt idx="43">
                  <c:v>55.3</c:v>
                </c:pt>
                <c:pt idx="44">
                  <c:v>55.5</c:v>
                </c:pt>
                <c:pt idx="45">
                  <c:v>56.4</c:v>
                </c:pt>
                <c:pt idx="46">
                  <c:v>57</c:v>
                </c:pt>
                <c:pt idx="47">
                  <c:v>57.7</c:v>
                </c:pt>
                <c:pt idx="48">
                  <c:v>59.3</c:v>
                </c:pt>
                <c:pt idx="49">
                  <c:v>59.5</c:v>
                </c:pt>
                <c:pt idx="50">
                  <c:v>59.8</c:v>
                </c:pt>
                <c:pt idx="51">
                  <c:v>59.7</c:v>
                </c:pt>
                <c:pt idx="52">
                  <c:v>59.9</c:v>
                </c:pt>
                <c:pt idx="53">
                  <c:v>58.8</c:v>
                </c:pt>
                <c:pt idx="54">
                  <c:v>58.8</c:v>
                </c:pt>
                <c:pt idx="55">
                  <c:v>59.5</c:v>
                </c:pt>
                <c:pt idx="56">
                  <c:v>60.1</c:v>
                </c:pt>
                <c:pt idx="57">
                  <c:v>61.3</c:v>
                </c:pt>
                <c:pt idx="58">
                  <c:v>61.2</c:v>
                </c:pt>
                <c:pt idx="59">
                  <c:v>61.2</c:v>
                </c:pt>
                <c:pt idx="60">
                  <c:v>61.6</c:v>
                </c:pt>
                <c:pt idx="61">
                  <c:v>62.2</c:v>
                </c:pt>
                <c:pt idx="62">
                  <c:v>62.6</c:v>
                </c:pt>
                <c:pt idx="63">
                  <c:v>63.4</c:v>
                </c:pt>
                <c:pt idx="64">
                  <c:v>63.5</c:v>
                </c:pt>
                <c:pt idx="65">
                  <c:v>64.099999999999994</c:v>
                </c:pt>
                <c:pt idx="66">
                  <c:v>64.8</c:v>
                </c:pt>
                <c:pt idx="67">
                  <c:v>64.900000000000006</c:v>
                </c:pt>
                <c:pt idx="68">
                  <c:v>65.2</c:v>
                </c:pt>
                <c:pt idx="69">
                  <c:v>65.099999999999994</c:v>
                </c:pt>
                <c:pt idx="70">
                  <c:v>65.400000000000006</c:v>
                </c:pt>
                <c:pt idx="71">
                  <c:v>65.5</c:v>
                </c:pt>
                <c:pt idx="72">
                  <c:v>65.099999999999994</c:v>
                </c:pt>
                <c:pt idx="73">
                  <c:v>65</c:v>
                </c:pt>
                <c:pt idx="74">
                  <c:v>65</c:v>
                </c:pt>
                <c:pt idx="75">
                  <c:v>65</c:v>
                </c:pt>
                <c:pt idx="76">
                  <c:v>65.400000000000006</c:v>
                </c:pt>
                <c:pt idx="77">
                  <c:v>65.8</c:v>
                </c:pt>
                <c:pt idx="78">
                  <c:v>65.599999999999994</c:v>
                </c:pt>
                <c:pt idx="79">
                  <c:v>66.099999999999994</c:v>
                </c:pt>
                <c:pt idx="80">
                  <c:v>66.5</c:v>
                </c:pt>
                <c:pt idx="81">
                  <c:v>67.5</c:v>
                </c:pt>
                <c:pt idx="82">
                  <c:v>68.3</c:v>
                </c:pt>
                <c:pt idx="83">
                  <c:v>69</c:v>
                </c:pt>
                <c:pt idx="84">
                  <c:v>69.2</c:v>
                </c:pt>
                <c:pt idx="85">
                  <c:v>69.2</c:v>
                </c:pt>
                <c:pt idx="86">
                  <c:v>70.099999999999994</c:v>
                </c:pt>
                <c:pt idx="87">
                  <c:v>71.3</c:v>
                </c:pt>
                <c:pt idx="88">
                  <c:v>71.599999999999994</c:v>
                </c:pt>
                <c:pt idx="89">
                  <c:v>72</c:v>
                </c:pt>
                <c:pt idx="90">
                  <c:v>72.7</c:v>
                </c:pt>
                <c:pt idx="91">
                  <c:v>73.3</c:v>
                </c:pt>
                <c:pt idx="92">
                  <c:v>73.400000000000006</c:v>
                </c:pt>
                <c:pt idx="93">
                  <c:v>73.8</c:v>
                </c:pt>
                <c:pt idx="94">
                  <c:v>73.8</c:v>
                </c:pt>
                <c:pt idx="95">
                  <c:v>73.599999999999994</c:v>
                </c:pt>
                <c:pt idx="96">
                  <c:v>74</c:v>
                </c:pt>
                <c:pt idx="97">
                  <c:v>73.900000000000006</c:v>
                </c:pt>
                <c:pt idx="98">
                  <c:v>74.7</c:v>
                </c:pt>
                <c:pt idx="99">
                  <c:v>74.599999999999994</c:v>
                </c:pt>
                <c:pt idx="100">
                  <c:v>75.3</c:v>
                </c:pt>
                <c:pt idx="101">
                  <c:v>75.5</c:v>
                </c:pt>
                <c:pt idx="102">
                  <c:v>76</c:v>
                </c:pt>
                <c:pt idx="103">
                  <c:v>76.599999999999994</c:v>
                </c:pt>
                <c:pt idx="104">
                  <c:v>76.900000000000006</c:v>
                </c:pt>
                <c:pt idx="105">
                  <c:v>77.2</c:v>
                </c:pt>
                <c:pt idx="106">
                  <c:v>77.599999999999994</c:v>
                </c:pt>
                <c:pt idx="107">
                  <c:v>78.7</c:v>
                </c:pt>
                <c:pt idx="108">
                  <c:v>79</c:v>
                </c:pt>
                <c:pt idx="109">
                  <c:v>79.5</c:v>
                </c:pt>
                <c:pt idx="110">
                  <c:v>79.599999999999994</c:v>
                </c:pt>
                <c:pt idx="111">
                  <c:v>80.599999999999994</c:v>
                </c:pt>
                <c:pt idx="112">
                  <c:v>80.7</c:v>
                </c:pt>
                <c:pt idx="113">
                  <c:v>80.8</c:v>
                </c:pt>
                <c:pt idx="114">
                  <c:v>81.8</c:v>
                </c:pt>
                <c:pt idx="115">
                  <c:v>82.8</c:v>
                </c:pt>
                <c:pt idx="116">
                  <c:v>84.9</c:v>
                </c:pt>
                <c:pt idx="117">
                  <c:v>84.6</c:v>
                </c:pt>
                <c:pt idx="118">
                  <c:v>85.1</c:v>
                </c:pt>
                <c:pt idx="119">
                  <c:v>85</c:v>
                </c:pt>
                <c:pt idx="120">
                  <c:v>86</c:v>
                </c:pt>
                <c:pt idx="121">
                  <c:v>85.8</c:v>
                </c:pt>
                <c:pt idx="122">
                  <c:v>86.3</c:v>
                </c:pt>
                <c:pt idx="123">
                  <c:v>86.6</c:v>
                </c:pt>
                <c:pt idx="124">
                  <c:v>87</c:v>
                </c:pt>
                <c:pt idx="125">
                  <c:v>87.7</c:v>
                </c:pt>
                <c:pt idx="126">
                  <c:v>87.8</c:v>
                </c:pt>
                <c:pt idx="127">
                  <c:v>88.4</c:v>
                </c:pt>
                <c:pt idx="128">
                  <c:v>89</c:v>
                </c:pt>
                <c:pt idx="129">
                  <c:v>89.5</c:v>
                </c:pt>
                <c:pt idx="130">
                  <c:v>90.3</c:v>
                </c:pt>
                <c:pt idx="131">
                  <c:v>91.4</c:v>
                </c:pt>
                <c:pt idx="132">
                  <c:v>90.8</c:v>
                </c:pt>
                <c:pt idx="133">
                  <c:v>91.5</c:v>
                </c:pt>
                <c:pt idx="134">
                  <c:v>91.6</c:v>
                </c:pt>
                <c:pt idx="135">
                  <c:v>91</c:v>
                </c:pt>
                <c:pt idx="136">
                  <c:v>91.7</c:v>
                </c:pt>
                <c:pt idx="137">
                  <c:v>92.7</c:v>
                </c:pt>
                <c:pt idx="138">
                  <c:v>92.9</c:v>
                </c:pt>
                <c:pt idx="139">
                  <c:v>93.8</c:v>
                </c:pt>
                <c:pt idx="140">
                  <c:v>94.1</c:v>
                </c:pt>
                <c:pt idx="141">
                  <c:v>94.6</c:v>
                </c:pt>
                <c:pt idx="142">
                  <c:v>94.6</c:v>
                </c:pt>
                <c:pt idx="143">
                  <c:v>94.7</c:v>
                </c:pt>
                <c:pt idx="144">
                  <c:v>95.5</c:v>
                </c:pt>
                <c:pt idx="145">
                  <c:v>95.9</c:v>
                </c:pt>
                <c:pt idx="146">
                  <c:v>96.3</c:v>
                </c:pt>
                <c:pt idx="147">
                  <c:v>96.8</c:v>
                </c:pt>
                <c:pt idx="148">
                  <c:v>96.2</c:v>
                </c:pt>
                <c:pt idx="149">
                  <c:v>96.9</c:v>
                </c:pt>
                <c:pt idx="150">
                  <c:v>95.3</c:v>
                </c:pt>
                <c:pt idx="151">
                  <c:v>93.8</c:v>
                </c:pt>
                <c:pt idx="152">
                  <c:v>93.6</c:v>
                </c:pt>
                <c:pt idx="153">
                  <c:v>93.5</c:v>
                </c:pt>
                <c:pt idx="154">
                  <c:v>94.1</c:v>
                </c:pt>
                <c:pt idx="155">
                  <c:v>94.4</c:v>
                </c:pt>
                <c:pt idx="156">
                  <c:v>95.5</c:v>
                </c:pt>
                <c:pt idx="157">
                  <c:v>95.7</c:v>
                </c:pt>
                <c:pt idx="158">
                  <c:v>95.8</c:v>
                </c:pt>
                <c:pt idx="159">
                  <c:v>95.5</c:v>
                </c:pt>
                <c:pt idx="160">
                  <c:v>95.7</c:v>
                </c:pt>
                <c:pt idx="161">
                  <c:v>96.8</c:v>
                </c:pt>
                <c:pt idx="162">
                  <c:v>96.6</c:v>
                </c:pt>
                <c:pt idx="163">
                  <c:v>96.9</c:v>
                </c:pt>
                <c:pt idx="164">
                  <c:v>96.8</c:v>
                </c:pt>
                <c:pt idx="165">
                  <c:v>96.1</c:v>
                </c:pt>
                <c:pt idx="166">
                  <c:v>96.1</c:v>
                </c:pt>
                <c:pt idx="167">
                  <c:v>95.7</c:v>
                </c:pt>
                <c:pt idx="168">
                  <c:v>95.8</c:v>
                </c:pt>
                <c:pt idx="169">
                  <c:v>96.2</c:v>
                </c:pt>
                <c:pt idx="170">
                  <c:v>95.7</c:v>
                </c:pt>
                <c:pt idx="171">
                  <c:v>96.2</c:v>
                </c:pt>
                <c:pt idx="172">
                  <c:v>96.1</c:v>
                </c:pt>
                <c:pt idx="173">
                  <c:v>96.1</c:v>
                </c:pt>
                <c:pt idx="174">
                  <c:v>96.7</c:v>
                </c:pt>
                <c:pt idx="175">
                  <c:v>96.7</c:v>
                </c:pt>
                <c:pt idx="176">
                  <c:v>96.6</c:v>
                </c:pt>
                <c:pt idx="177">
                  <c:v>97.2</c:v>
                </c:pt>
                <c:pt idx="178">
                  <c:v>97.5</c:v>
                </c:pt>
                <c:pt idx="179">
                  <c:v>96.1</c:v>
                </c:pt>
                <c:pt idx="180">
                  <c:v>97</c:v>
                </c:pt>
                <c:pt idx="181">
                  <c:v>97.4</c:v>
                </c:pt>
                <c:pt idx="182">
                  <c:v>97.7</c:v>
                </c:pt>
                <c:pt idx="183">
                  <c:v>98</c:v>
                </c:pt>
                <c:pt idx="184">
                  <c:v>98.2</c:v>
                </c:pt>
                <c:pt idx="185">
                  <c:v>98.3</c:v>
                </c:pt>
                <c:pt idx="186">
                  <c:v>99.8</c:v>
                </c:pt>
                <c:pt idx="187">
                  <c:v>100.2</c:v>
                </c:pt>
                <c:pt idx="188">
                  <c:v>99.8</c:v>
                </c:pt>
                <c:pt idx="189">
                  <c:v>99.9</c:v>
                </c:pt>
                <c:pt idx="190">
                  <c:v>99.3</c:v>
                </c:pt>
                <c:pt idx="191">
                  <c:v>99.5</c:v>
                </c:pt>
                <c:pt idx="192">
                  <c:v>99.2</c:v>
                </c:pt>
                <c:pt idx="193">
                  <c:v>99.6</c:v>
                </c:pt>
                <c:pt idx="194">
                  <c:v>100.4</c:v>
                </c:pt>
                <c:pt idx="195">
                  <c:v>100.7</c:v>
                </c:pt>
                <c:pt idx="196">
                  <c:v>99.9</c:v>
                </c:pt>
                <c:pt idx="197">
                  <c:v>96.9</c:v>
                </c:pt>
                <c:pt idx="198">
                  <c:v>104.9</c:v>
                </c:pt>
                <c:pt idx="199">
                  <c:v>100.7</c:v>
                </c:pt>
                <c:pt idx="200">
                  <c:v>101.1</c:v>
                </c:pt>
                <c:pt idx="201">
                  <c:v>102.8</c:v>
                </c:pt>
                <c:pt idx="202">
                  <c:v>101.7</c:v>
                </c:pt>
                <c:pt idx="203">
                  <c:v>102.9</c:v>
                </c:pt>
                <c:pt idx="204">
                  <c:v>102</c:v>
                </c:pt>
                <c:pt idx="205">
                  <c:v>102</c:v>
                </c:pt>
                <c:pt idx="206">
                  <c:v>102.4</c:v>
                </c:pt>
                <c:pt idx="207">
                  <c:v>102.3</c:v>
                </c:pt>
                <c:pt idx="208">
                  <c:v>101.7</c:v>
                </c:pt>
                <c:pt idx="209">
                  <c:v>102.3</c:v>
                </c:pt>
                <c:pt idx="210">
                  <c:v>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E7-4C29-84C4-C3BA482300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0646848"/>
        <c:axId val="949183296"/>
      </c:lineChart>
      <c:dateAx>
        <c:axId val="1280646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183296"/>
        <c:crosses val="autoZero"/>
        <c:auto val="0"/>
        <c:lblOffset val="100"/>
        <c:baseTimeUnit val="days"/>
        <c:majorUnit val="8"/>
        <c:minorUnit val="4"/>
      </c:dateAx>
      <c:valAx>
        <c:axId val="94918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0646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baseline="0">
                <a:effectLst/>
              </a:rPr>
              <a:t>UK Whole Economy: Output per Worker</a:t>
            </a:r>
          </a:p>
          <a:p>
            <a:pPr>
              <a:defRPr/>
            </a:pPr>
            <a:r>
              <a:rPr lang="en-GB" sz="1400" b="0" i="0" u="none" strike="noStrike" baseline="0">
                <a:effectLst/>
              </a:rPr>
              <a:t>2019 = 100</a:t>
            </a:r>
            <a:r>
              <a:rPr lang="en-GB" sz="1400" b="0" i="0" u="none" strike="noStrike" baseline="0"/>
              <a:t>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'[1 - productivity.xlsx]selection'!$A$3:$A$213</c:f>
              <c:strCache>
                <c:ptCount val="211"/>
                <c:pt idx="0">
                  <c:v>1971 Q1</c:v>
                </c:pt>
                <c:pt idx="1">
                  <c:v>1971 Q2</c:v>
                </c:pt>
                <c:pt idx="2">
                  <c:v>1971 Q3</c:v>
                </c:pt>
                <c:pt idx="3">
                  <c:v>1971 Q4</c:v>
                </c:pt>
                <c:pt idx="4">
                  <c:v>1972 Q1</c:v>
                </c:pt>
                <c:pt idx="5">
                  <c:v>1972 Q2</c:v>
                </c:pt>
                <c:pt idx="6">
                  <c:v>1972 Q3</c:v>
                </c:pt>
                <c:pt idx="7">
                  <c:v>1972 Q4</c:v>
                </c:pt>
                <c:pt idx="8">
                  <c:v>1973 Q1</c:v>
                </c:pt>
                <c:pt idx="9">
                  <c:v>1973 Q2</c:v>
                </c:pt>
                <c:pt idx="10">
                  <c:v>1973 Q3</c:v>
                </c:pt>
                <c:pt idx="11">
                  <c:v>1973 Q4</c:v>
                </c:pt>
                <c:pt idx="12">
                  <c:v>1974 Q1</c:v>
                </c:pt>
                <c:pt idx="13">
                  <c:v>1974 Q2</c:v>
                </c:pt>
                <c:pt idx="14">
                  <c:v>1974 Q3</c:v>
                </c:pt>
                <c:pt idx="15">
                  <c:v>1974 Q4</c:v>
                </c:pt>
                <c:pt idx="16">
                  <c:v>1975 Q1</c:v>
                </c:pt>
                <c:pt idx="17">
                  <c:v>1975 Q2</c:v>
                </c:pt>
                <c:pt idx="18">
                  <c:v>1975 Q3</c:v>
                </c:pt>
                <c:pt idx="19">
                  <c:v>1975 Q4</c:v>
                </c:pt>
                <c:pt idx="20">
                  <c:v>1976 Q1</c:v>
                </c:pt>
                <c:pt idx="21">
                  <c:v>1976 Q2</c:v>
                </c:pt>
                <c:pt idx="22">
                  <c:v>1976 Q3</c:v>
                </c:pt>
                <c:pt idx="23">
                  <c:v>1976 Q4</c:v>
                </c:pt>
                <c:pt idx="24">
                  <c:v>1977 Q1</c:v>
                </c:pt>
                <c:pt idx="25">
                  <c:v>1977 Q2</c:v>
                </c:pt>
                <c:pt idx="26">
                  <c:v>1977 Q3</c:v>
                </c:pt>
                <c:pt idx="27">
                  <c:v>1977 Q4</c:v>
                </c:pt>
                <c:pt idx="28">
                  <c:v>1978 Q1</c:v>
                </c:pt>
                <c:pt idx="29">
                  <c:v>1978 Q2</c:v>
                </c:pt>
                <c:pt idx="30">
                  <c:v>1978 Q3</c:v>
                </c:pt>
                <c:pt idx="31">
                  <c:v>1978 Q4</c:v>
                </c:pt>
                <c:pt idx="32">
                  <c:v>1979 Q1</c:v>
                </c:pt>
                <c:pt idx="33">
                  <c:v>1979 Q2</c:v>
                </c:pt>
                <c:pt idx="34">
                  <c:v>1979 Q3</c:v>
                </c:pt>
                <c:pt idx="35">
                  <c:v>1979 Q4</c:v>
                </c:pt>
                <c:pt idx="36">
                  <c:v>1980 Q1</c:v>
                </c:pt>
                <c:pt idx="37">
                  <c:v>1980 Q2</c:v>
                </c:pt>
                <c:pt idx="38">
                  <c:v>1980 Q3</c:v>
                </c:pt>
                <c:pt idx="39">
                  <c:v>1980 Q4</c:v>
                </c:pt>
                <c:pt idx="40">
                  <c:v>1981 Q1</c:v>
                </c:pt>
                <c:pt idx="41">
                  <c:v>1981 Q2</c:v>
                </c:pt>
                <c:pt idx="42">
                  <c:v>1981 Q3</c:v>
                </c:pt>
                <c:pt idx="43">
                  <c:v>1981 Q4</c:v>
                </c:pt>
                <c:pt idx="44">
                  <c:v>1982 Q1</c:v>
                </c:pt>
                <c:pt idx="45">
                  <c:v>1982 Q2</c:v>
                </c:pt>
                <c:pt idx="46">
                  <c:v>1982 Q3</c:v>
                </c:pt>
                <c:pt idx="47">
                  <c:v>1982 Q4</c:v>
                </c:pt>
                <c:pt idx="48">
                  <c:v>1983 Q1</c:v>
                </c:pt>
                <c:pt idx="49">
                  <c:v>1983 Q2</c:v>
                </c:pt>
                <c:pt idx="50">
                  <c:v>1983 Q3</c:v>
                </c:pt>
                <c:pt idx="51">
                  <c:v>1983 Q4</c:v>
                </c:pt>
                <c:pt idx="52">
                  <c:v>1984 Q1</c:v>
                </c:pt>
                <c:pt idx="53">
                  <c:v>1984 Q2</c:v>
                </c:pt>
                <c:pt idx="54">
                  <c:v>1984 Q3</c:v>
                </c:pt>
                <c:pt idx="55">
                  <c:v>1984 Q4</c:v>
                </c:pt>
                <c:pt idx="56">
                  <c:v>1985 Q1</c:v>
                </c:pt>
                <c:pt idx="57">
                  <c:v>1985 Q2</c:v>
                </c:pt>
                <c:pt idx="58">
                  <c:v>1985 Q3</c:v>
                </c:pt>
                <c:pt idx="59">
                  <c:v>1985 Q4</c:v>
                </c:pt>
                <c:pt idx="60">
                  <c:v>1986 Q1</c:v>
                </c:pt>
                <c:pt idx="61">
                  <c:v>1986 Q2</c:v>
                </c:pt>
                <c:pt idx="62">
                  <c:v>1986 Q3</c:v>
                </c:pt>
                <c:pt idx="63">
                  <c:v>1986 Q4</c:v>
                </c:pt>
                <c:pt idx="64">
                  <c:v>1987 Q1</c:v>
                </c:pt>
                <c:pt idx="65">
                  <c:v>1987 Q2</c:v>
                </c:pt>
                <c:pt idx="66">
                  <c:v>1987 Q3</c:v>
                </c:pt>
                <c:pt idx="67">
                  <c:v>1987 Q4</c:v>
                </c:pt>
                <c:pt idx="68">
                  <c:v>1988 Q1</c:v>
                </c:pt>
                <c:pt idx="69">
                  <c:v>1988 Q2</c:v>
                </c:pt>
                <c:pt idx="70">
                  <c:v>1988 Q3</c:v>
                </c:pt>
                <c:pt idx="71">
                  <c:v>1988 Q4</c:v>
                </c:pt>
                <c:pt idx="72">
                  <c:v>1989 Q1</c:v>
                </c:pt>
                <c:pt idx="73">
                  <c:v>1989 Q2</c:v>
                </c:pt>
                <c:pt idx="74">
                  <c:v>1989 Q3</c:v>
                </c:pt>
                <c:pt idx="75">
                  <c:v>1989 Q4</c:v>
                </c:pt>
                <c:pt idx="76">
                  <c:v>1990 Q1</c:v>
                </c:pt>
                <c:pt idx="77">
                  <c:v>1990 Q2</c:v>
                </c:pt>
                <c:pt idx="78">
                  <c:v>1990 Q3</c:v>
                </c:pt>
                <c:pt idx="79">
                  <c:v>1990 Q4</c:v>
                </c:pt>
                <c:pt idx="80">
                  <c:v>1991 Q1</c:v>
                </c:pt>
                <c:pt idx="81">
                  <c:v>1991 Q2</c:v>
                </c:pt>
                <c:pt idx="82">
                  <c:v>1991 Q3</c:v>
                </c:pt>
                <c:pt idx="83">
                  <c:v>1991 Q4</c:v>
                </c:pt>
                <c:pt idx="84">
                  <c:v>1992 Q1</c:v>
                </c:pt>
                <c:pt idx="85">
                  <c:v>1992 Q2</c:v>
                </c:pt>
                <c:pt idx="86">
                  <c:v>1992 Q3</c:v>
                </c:pt>
                <c:pt idx="87">
                  <c:v>1992 Q4</c:v>
                </c:pt>
                <c:pt idx="88">
                  <c:v>1993 Q1</c:v>
                </c:pt>
                <c:pt idx="89">
                  <c:v>1993 Q2</c:v>
                </c:pt>
                <c:pt idx="90">
                  <c:v>1993 Q3</c:v>
                </c:pt>
                <c:pt idx="91">
                  <c:v>1993 Q4</c:v>
                </c:pt>
                <c:pt idx="92">
                  <c:v>1994 Q1</c:v>
                </c:pt>
                <c:pt idx="93">
                  <c:v>1994 Q2</c:v>
                </c:pt>
                <c:pt idx="94">
                  <c:v>1994 Q3</c:v>
                </c:pt>
                <c:pt idx="95">
                  <c:v>1994 Q4</c:v>
                </c:pt>
                <c:pt idx="96">
                  <c:v>1995 Q1</c:v>
                </c:pt>
                <c:pt idx="97">
                  <c:v>1995 Q2</c:v>
                </c:pt>
                <c:pt idx="98">
                  <c:v>1995 Q3</c:v>
                </c:pt>
                <c:pt idx="99">
                  <c:v>1995 Q4</c:v>
                </c:pt>
                <c:pt idx="100">
                  <c:v>1996 Q1</c:v>
                </c:pt>
                <c:pt idx="101">
                  <c:v>1996 Q2</c:v>
                </c:pt>
                <c:pt idx="102">
                  <c:v>1996 Q3</c:v>
                </c:pt>
                <c:pt idx="103">
                  <c:v>1996 Q4</c:v>
                </c:pt>
                <c:pt idx="104">
                  <c:v>1997 Q1</c:v>
                </c:pt>
                <c:pt idx="105">
                  <c:v>1997 Q2</c:v>
                </c:pt>
                <c:pt idx="106">
                  <c:v>1997 Q3</c:v>
                </c:pt>
                <c:pt idx="107">
                  <c:v>1997 Q4</c:v>
                </c:pt>
                <c:pt idx="108">
                  <c:v>1998 Q1</c:v>
                </c:pt>
                <c:pt idx="109">
                  <c:v>1998 Q2</c:v>
                </c:pt>
                <c:pt idx="110">
                  <c:v>1998 Q3</c:v>
                </c:pt>
                <c:pt idx="111">
                  <c:v>1998 Q4</c:v>
                </c:pt>
                <c:pt idx="112">
                  <c:v>1999 Q1</c:v>
                </c:pt>
                <c:pt idx="113">
                  <c:v>1999 Q2</c:v>
                </c:pt>
                <c:pt idx="114">
                  <c:v>1999 Q3</c:v>
                </c:pt>
                <c:pt idx="115">
                  <c:v>1999 Q4</c:v>
                </c:pt>
                <c:pt idx="116">
                  <c:v>2000 Q1</c:v>
                </c:pt>
                <c:pt idx="117">
                  <c:v>2000 Q2</c:v>
                </c:pt>
                <c:pt idx="118">
                  <c:v>2000 Q3</c:v>
                </c:pt>
                <c:pt idx="119">
                  <c:v>2000 Q4</c:v>
                </c:pt>
                <c:pt idx="120">
                  <c:v>2001 Q1</c:v>
                </c:pt>
                <c:pt idx="121">
                  <c:v>2001 Q2</c:v>
                </c:pt>
                <c:pt idx="122">
                  <c:v>2001 Q3</c:v>
                </c:pt>
                <c:pt idx="123">
                  <c:v>2001 Q4</c:v>
                </c:pt>
                <c:pt idx="124">
                  <c:v>2002 Q1</c:v>
                </c:pt>
                <c:pt idx="125">
                  <c:v>2002 Q2</c:v>
                </c:pt>
                <c:pt idx="126">
                  <c:v>2002 Q3</c:v>
                </c:pt>
                <c:pt idx="127">
                  <c:v>2002 Q4</c:v>
                </c:pt>
                <c:pt idx="128">
                  <c:v>2003 Q1</c:v>
                </c:pt>
                <c:pt idx="129">
                  <c:v>2003 Q2</c:v>
                </c:pt>
                <c:pt idx="130">
                  <c:v>2003 Q3</c:v>
                </c:pt>
                <c:pt idx="131">
                  <c:v>2003 Q4</c:v>
                </c:pt>
                <c:pt idx="132">
                  <c:v>2004 Q1</c:v>
                </c:pt>
                <c:pt idx="133">
                  <c:v>2004 Q2</c:v>
                </c:pt>
                <c:pt idx="134">
                  <c:v>2004 Q3</c:v>
                </c:pt>
                <c:pt idx="135">
                  <c:v>2004 Q4</c:v>
                </c:pt>
                <c:pt idx="136">
                  <c:v>2005 Q1</c:v>
                </c:pt>
                <c:pt idx="137">
                  <c:v>2005 Q2</c:v>
                </c:pt>
                <c:pt idx="138">
                  <c:v>2005 Q3</c:v>
                </c:pt>
                <c:pt idx="139">
                  <c:v>2005 Q4</c:v>
                </c:pt>
                <c:pt idx="140">
                  <c:v>2006 Q1</c:v>
                </c:pt>
                <c:pt idx="141">
                  <c:v>2006 Q2</c:v>
                </c:pt>
                <c:pt idx="142">
                  <c:v>2006 Q3</c:v>
                </c:pt>
                <c:pt idx="143">
                  <c:v>2006 Q4</c:v>
                </c:pt>
                <c:pt idx="144">
                  <c:v>2007 Q1</c:v>
                </c:pt>
                <c:pt idx="145">
                  <c:v>2007 Q2</c:v>
                </c:pt>
                <c:pt idx="146">
                  <c:v>2007 Q3</c:v>
                </c:pt>
                <c:pt idx="147">
                  <c:v>2007 Q4</c:v>
                </c:pt>
                <c:pt idx="148">
                  <c:v>2008 Q1</c:v>
                </c:pt>
                <c:pt idx="149">
                  <c:v>2008 Q2</c:v>
                </c:pt>
                <c:pt idx="150">
                  <c:v>2008 Q3</c:v>
                </c:pt>
                <c:pt idx="151">
                  <c:v>2008 Q4</c:v>
                </c:pt>
                <c:pt idx="152">
                  <c:v>2009 Q1</c:v>
                </c:pt>
                <c:pt idx="153">
                  <c:v>2009 Q2</c:v>
                </c:pt>
                <c:pt idx="154">
                  <c:v>2009 Q3</c:v>
                </c:pt>
                <c:pt idx="155">
                  <c:v>2009 Q4</c:v>
                </c:pt>
                <c:pt idx="156">
                  <c:v>2010 Q1</c:v>
                </c:pt>
                <c:pt idx="157">
                  <c:v>2010 Q2</c:v>
                </c:pt>
                <c:pt idx="158">
                  <c:v>2010 Q3</c:v>
                </c:pt>
                <c:pt idx="159">
                  <c:v>2010 Q4</c:v>
                </c:pt>
                <c:pt idx="160">
                  <c:v>2011 Q1</c:v>
                </c:pt>
                <c:pt idx="161">
                  <c:v>2011 Q2</c:v>
                </c:pt>
                <c:pt idx="162">
                  <c:v>2011 Q3</c:v>
                </c:pt>
                <c:pt idx="163">
                  <c:v>2011 Q4</c:v>
                </c:pt>
                <c:pt idx="164">
                  <c:v>2012 Q1</c:v>
                </c:pt>
                <c:pt idx="165">
                  <c:v>2012 Q2</c:v>
                </c:pt>
                <c:pt idx="166">
                  <c:v>2012 Q3</c:v>
                </c:pt>
                <c:pt idx="167">
                  <c:v>2012 Q4</c:v>
                </c:pt>
                <c:pt idx="168">
                  <c:v>2013 Q1</c:v>
                </c:pt>
                <c:pt idx="169">
                  <c:v>2013 Q2</c:v>
                </c:pt>
                <c:pt idx="170">
                  <c:v>2013 Q3</c:v>
                </c:pt>
                <c:pt idx="171">
                  <c:v>2013 Q4</c:v>
                </c:pt>
                <c:pt idx="172">
                  <c:v>2014 Q1</c:v>
                </c:pt>
                <c:pt idx="173">
                  <c:v>2014 Q2</c:v>
                </c:pt>
                <c:pt idx="174">
                  <c:v>2014 Q3</c:v>
                </c:pt>
                <c:pt idx="175">
                  <c:v>2014 Q4</c:v>
                </c:pt>
                <c:pt idx="176">
                  <c:v>2015 Q1</c:v>
                </c:pt>
                <c:pt idx="177">
                  <c:v>2015 Q2</c:v>
                </c:pt>
                <c:pt idx="178">
                  <c:v>2015 Q3</c:v>
                </c:pt>
                <c:pt idx="179">
                  <c:v>2015 Q4</c:v>
                </c:pt>
                <c:pt idx="180">
                  <c:v>2016 Q1</c:v>
                </c:pt>
                <c:pt idx="181">
                  <c:v>2016 Q2</c:v>
                </c:pt>
                <c:pt idx="182">
                  <c:v>2016 Q3</c:v>
                </c:pt>
                <c:pt idx="183">
                  <c:v>2016 Q4</c:v>
                </c:pt>
                <c:pt idx="184">
                  <c:v>2017 Q1</c:v>
                </c:pt>
                <c:pt idx="185">
                  <c:v>2017 Q2</c:v>
                </c:pt>
                <c:pt idx="186">
                  <c:v>2017 Q3</c:v>
                </c:pt>
                <c:pt idx="187">
                  <c:v>2017 Q4</c:v>
                </c:pt>
                <c:pt idx="188">
                  <c:v>2018 Q1</c:v>
                </c:pt>
                <c:pt idx="189">
                  <c:v>2018 Q2</c:v>
                </c:pt>
                <c:pt idx="190">
                  <c:v>2018 Q3</c:v>
                </c:pt>
                <c:pt idx="191">
                  <c:v>2018 Q4</c:v>
                </c:pt>
                <c:pt idx="192">
                  <c:v>2019 Q1</c:v>
                </c:pt>
                <c:pt idx="193">
                  <c:v>2019 Q2</c:v>
                </c:pt>
                <c:pt idx="194">
                  <c:v>2019 Q3</c:v>
                </c:pt>
                <c:pt idx="195">
                  <c:v>2019 Q4</c:v>
                </c:pt>
                <c:pt idx="196">
                  <c:v>2020 Q1</c:v>
                </c:pt>
                <c:pt idx="197">
                  <c:v>2020 Q2</c:v>
                </c:pt>
                <c:pt idx="198">
                  <c:v>2020 Q3</c:v>
                </c:pt>
                <c:pt idx="199">
                  <c:v>2020 Q4</c:v>
                </c:pt>
                <c:pt idx="200">
                  <c:v>2021 Q1</c:v>
                </c:pt>
                <c:pt idx="201">
                  <c:v>2021 Q2</c:v>
                </c:pt>
                <c:pt idx="202">
                  <c:v>2021 Q3</c:v>
                </c:pt>
                <c:pt idx="203">
                  <c:v>2021 Q4</c:v>
                </c:pt>
                <c:pt idx="204">
                  <c:v>2022 Q1</c:v>
                </c:pt>
                <c:pt idx="205">
                  <c:v>2022 Q2</c:v>
                </c:pt>
                <c:pt idx="206">
                  <c:v>2022 Q3</c:v>
                </c:pt>
                <c:pt idx="207">
                  <c:v>2022 Q4</c:v>
                </c:pt>
                <c:pt idx="208">
                  <c:v>2023 Q1</c:v>
                </c:pt>
                <c:pt idx="209">
                  <c:v>2023 Q2</c:v>
                </c:pt>
                <c:pt idx="210">
                  <c:v>2023 Q3</c:v>
                </c:pt>
              </c:strCache>
            </c:strRef>
          </c:cat>
          <c:val>
            <c:numRef>
              <c:f>'[1 - productivity.xlsx]selection'!$C$3:$C$213</c:f>
              <c:numCache>
                <c:formatCode>General</c:formatCode>
                <c:ptCount val="211"/>
                <c:pt idx="0">
                  <c:v>46.7</c:v>
                </c:pt>
                <c:pt idx="1">
                  <c:v>47.6</c:v>
                </c:pt>
                <c:pt idx="2">
                  <c:v>48.6</c:v>
                </c:pt>
                <c:pt idx="3">
                  <c:v>49</c:v>
                </c:pt>
                <c:pt idx="4">
                  <c:v>48.8</c:v>
                </c:pt>
                <c:pt idx="5">
                  <c:v>49.9</c:v>
                </c:pt>
                <c:pt idx="6">
                  <c:v>50.2</c:v>
                </c:pt>
                <c:pt idx="7">
                  <c:v>50.8</c:v>
                </c:pt>
                <c:pt idx="8">
                  <c:v>52.8</c:v>
                </c:pt>
                <c:pt idx="9">
                  <c:v>52.8</c:v>
                </c:pt>
                <c:pt idx="10">
                  <c:v>52.3</c:v>
                </c:pt>
                <c:pt idx="11">
                  <c:v>52</c:v>
                </c:pt>
                <c:pt idx="12">
                  <c:v>50.7</c:v>
                </c:pt>
                <c:pt idx="13">
                  <c:v>51.4</c:v>
                </c:pt>
                <c:pt idx="14">
                  <c:v>51.7</c:v>
                </c:pt>
                <c:pt idx="15">
                  <c:v>50.9</c:v>
                </c:pt>
                <c:pt idx="16">
                  <c:v>51</c:v>
                </c:pt>
                <c:pt idx="17">
                  <c:v>50.3</c:v>
                </c:pt>
                <c:pt idx="18">
                  <c:v>50.1</c:v>
                </c:pt>
                <c:pt idx="19">
                  <c:v>50.9</c:v>
                </c:pt>
                <c:pt idx="20">
                  <c:v>51.8</c:v>
                </c:pt>
                <c:pt idx="21">
                  <c:v>51.8</c:v>
                </c:pt>
                <c:pt idx="22">
                  <c:v>52.4</c:v>
                </c:pt>
                <c:pt idx="23">
                  <c:v>53.4</c:v>
                </c:pt>
                <c:pt idx="24">
                  <c:v>53.7</c:v>
                </c:pt>
                <c:pt idx="25">
                  <c:v>53</c:v>
                </c:pt>
                <c:pt idx="26">
                  <c:v>53.3</c:v>
                </c:pt>
                <c:pt idx="27">
                  <c:v>54.1</c:v>
                </c:pt>
                <c:pt idx="28">
                  <c:v>54.5</c:v>
                </c:pt>
                <c:pt idx="29">
                  <c:v>54.9</c:v>
                </c:pt>
                <c:pt idx="30">
                  <c:v>55.6</c:v>
                </c:pt>
                <c:pt idx="31">
                  <c:v>55.8</c:v>
                </c:pt>
                <c:pt idx="32">
                  <c:v>55.3</c:v>
                </c:pt>
                <c:pt idx="33">
                  <c:v>57.5</c:v>
                </c:pt>
                <c:pt idx="34">
                  <c:v>56.4</c:v>
                </c:pt>
                <c:pt idx="35">
                  <c:v>56.6</c:v>
                </c:pt>
                <c:pt idx="36">
                  <c:v>56</c:v>
                </c:pt>
                <c:pt idx="37">
                  <c:v>55.4</c:v>
                </c:pt>
                <c:pt idx="38">
                  <c:v>55.6</c:v>
                </c:pt>
                <c:pt idx="39">
                  <c:v>55.3</c:v>
                </c:pt>
                <c:pt idx="40">
                  <c:v>55.7</c:v>
                </c:pt>
                <c:pt idx="41">
                  <c:v>56.4</c:v>
                </c:pt>
                <c:pt idx="42">
                  <c:v>57.3</c:v>
                </c:pt>
                <c:pt idx="43">
                  <c:v>57.9</c:v>
                </c:pt>
                <c:pt idx="44">
                  <c:v>58.1</c:v>
                </c:pt>
                <c:pt idx="45">
                  <c:v>59</c:v>
                </c:pt>
                <c:pt idx="46">
                  <c:v>59.6</c:v>
                </c:pt>
                <c:pt idx="47">
                  <c:v>60.3</c:v>
                </c:pt>
                <c:pt idx="48">
                  <c:v>61.9</c:v>
                </c:pt>
                <c:pt idx="49">
                  <c:v>62.1</c:v>
                </c:pt>
                <c:pt idx="50">
                  <c:v>62.4</c:v>
                </c:pt>
                <c:pt idx="51">
                  <c:v>62.3</c:v>
                </c:pt>
                <c:pt idx="52">
                  <c:v>62.5</c:v>
                </c:pt>
                <c:pt idx="53">
                  <c:v>61.5</c:v>
                </c:pt>
                <c:pt idx="54">
                  <c:v>61.6</c:v>
                </c:pt>
                <c:pt idx="55">
                  <c:v>62.4</c:v>
                </c:pt>
                <c:pt idx="56">
                  <c:v>63</c:v>
                </c:pt>
                <c:pt idx="57">
                  <c:v>64.3</c:v>
                </c:pt>
                <c:pt idx="58">
                  <c:v>64.099999999999994</c:v>
                </c:pt>
                <c:pt idx="59">
                  <c:v>64</c:v>
                </c:pt>
                <c:pt idx="60">
                  <c:v>64.400000000000006</c:v>
                </c:pt>
                <c:pt idx="61">
                  <c:v>65</c:v>
                </c:pt>
                <c:pt idx="62">
                  <c:v>65.400000000000006</c:v>
                </c:pt>
                <c:pt idx="63">
                  <c:v>66.3</c:v>
                </c:pt>
                <c:pt idx="64">
                  <c:v>66.400000000000006</c:v>
                </c:pt>
                <c:pt idx="65">
                  <c:v>67.099999999999994</c:v>
                </c:pt>
                <c:pt idx="66">
                  <c:v>67.900000000000006</c:v>
                </c:pt>
                <c:pt idx="67">
                  <c:v>68.099999999999994</c:v>
                </c:pt>
                <c:pt idx="68">
                  <c:v>68.5</c:v>
                </c:pt>
                <c:pt idx="69">
                  <c:v>68.400000000000006</c:v>
                </c:pt>
                <c:pt idx="70">
                  <c:v>68.8</c:v>
                </c:pt>
                <c:pt idx="71">
                  <c:v>68.900000000000006</c:v>
                </c:pt>
                <c:pt idx="72">
                  <c:v>68.599999999999994</c:v>
                </c:pt>
                <c:pt idx="73">
                  <c:v>68.599999999999994</c:v>
                </c:pt>
                <c:pt idx="74">
                  <c:v>68.599999999999994</c:v>
                </c:pt>
                <c:pt idx="75">
                  <c:v>68.5</c:v>
                </c:pt>
                <c:pt idx="76">
                  <c:v>68.8</c:v>
                </c:pt>
                <c:pt idx="77">
                  <c:v>69.099999999999994</c:v>
                </c:pt>
                <c:pt idx="78">
                  <c:v>68.599999999999994</c:v>
                </c:pt>
                <c:pt idx="79">
                  <c:v>68.7</c:v>
                </c:pt>
                <c:pt idx="80">
                  <c:v>68.900000000000006</c:v>
                </c:pt>
                <c:pt idx="81">
                  <c:v>69.599999999999994</c:v>
                </c:pt>
                <c:pt idx="82">
                  <c:v>70.3</c:v>
                </c:pt>
                <c:pt idx="83">
                  <c:v>70.900000000000006</c:v>
                </c:pt>
                <c:pt idx="84">
                  <c:v>71.099999999999994</c:v>
                </c:pt>
                <c:pt idx="85">
                  <c:v>71.400000000000006</c:v>
                </c:pt>
                <c:pt idx="86">
                  <c:v>72</c:v>
                </c:pt>
                <c:pt idx="87">
                  <c:v>73.099999999999994</c:v>
                </c:pt>
                <c:pt idx="88">
                  <c:v>73.5</c:v>
                </c:pt>
                <c:pt idx="89">
                  <c:v>73.900000000000006</c:v>
                </c:pt>
                <c:pt idx="90">
                  <c:v>74.599999999999994</c:v>
                </c:pt>
                <c:pt idx="91">
                  <c:v>75</c:v>
                </c:pt>
                <c:pt idx="92">
                  <c:v>75.400000000000006</c:v>
                </c:pt>
                <c:pt idx="93">
                  <c:v>75.900000000000006</c:v>
                </c:pt>
                <c:pt idx="94">
                  <c:v>76.2</c:v>
                </c:pt>
                <c:pt idx="95">
                  <c:v>76.400000000000006</c:v>
                </c:pt>
                <c:pt idx="96">
                  <c:v>76.599999999999994</c:v>
                </c:pt>
                <c:pt idx="97">
                  <c:v>76.400000000000006</c:v>
                </c:pt>
                <c:pt idx="98">
                  <c:v>77</c:v>
                </c:pt>
                <c:pt idx="99">
                  <c:v>77</c:v>
                </c:pt>
                <c:pt idx="100">
                  <c:v>77.8</c:v>
                </c:pt>
                <c:pt idx="101">
                  <c:v>78.099999999999994</c:v>
                </c:pt>
                <c:pt idx="102">
                  <c:v>78.5</c:v>
                </c:pt>
                <c:pt idx="103">
                  <c:v>78.900000000000006</c:v>
                </c:pt>
                <c:pt idx="104">
                  <c:v>79.400000000000006</c:v>
                </c:pt>
                <c:pt idx="105">
                  <c:v>79.7</c:v>
                </c:pt>
                <c:pt idx="106">
                  <c:v>80.2</c:v>
                </c:pt>
                <c:pt idx="107">
                  <c:v>81.099999999999994</c:v>
                </c:pt>
                <c:pt idx="108">
                  <c:v>81.599999999999994</c:v>
                </c:pt>
                <c:pt idx="109">
                  <c:v>82.1</c:v>
                </c:pt>
                <c:pt idx="110">
                  <c:v>82</c:v>
                </c:pt>
                <c:pt idx="111">
                  <c:v>82.3</c:v>
                </c:pt>
                <c:pt idx="112">
                  <c:v>82.6</c:v>
                </c:pt>
                <c:pt idx="113">
                  <c:v>82.8</c:v>
                </c:pt>
                <c:pt idx="114">
                  <c:v>83.8</c:v>
                </c:pt>
                <c:pt idx="115">
                  <c:v>84.8</c:v>
                </c:pt>
                <c:pt idx="116">
                  <c:v>85.6</c:v>
                </c:pt>
                <c:pt idx="117">
                  <c:v>85.9</c:v>
                </c:pt>
                <c:pt idx="118">
                  <c:v>86.3</c:v>
                </c:pt>
                <c:pt idx="119">
                  <c:v>86.9</c:v>
                </c:pt>
                <c:pt idx="120">
                  <c:v>87.4</c:v>
                </c:pt>
                <c:pt idx="121">
                  <c:v>87.5</c:v>
                </c:pt>
                <c:pt idx="122">
                  <c:v>87.8</c:v>
                </c:pt>
                <c:pt idx="123">
                  <c:v>87.8</c:v>
                </c:pt>
                <c:pt idx="124">
                  <c:v>88</c:v>
                </c:pt>
                <c:pt idx="125">
                  <c:v>87.9</c:v>
                </c:pt>
                <c:pt idx="126">
                  <c:v>88.6</c:v>
                </c:pt>
                <c:pt idx="127">
                  <c:v>88.7</c:v>
                </c:pt>
                <c:pt idx="128">
                  <c:v>89.3</c:v>
                </c:pt>
                <c:pt idx="129">
                  <c:v>89.7</c:v>
                </c:pt>
                <c:pt idx="130">
                  <c:v>90.5</c:v>
                </c:pt>
                <c:pt idx="131">
                  <c:v>91</c:v>
                </c:pt>
                <c:pt idx="132">
                  <c:v>90.8</c:v>
                </c:pt>
                <c:pt idx="133">
                  <c:v>91.2</c:v>
                </c:pt>
                <c:pt idx="134">
                  <c:v>91.3</c:v>
                </c:pt>
                <c:pt idx="135">
                  <c:v>91.4</c:v>
                </c:pt>
                <c:pt idx="136">
                  <c:v>91.8</c:v>
                </c:pt>
                <c:pt idx="137">
                  <c:v>92.6</c:v>
                </c:pt>
                <c:pt idx="138">
                  <c:v>93</c:v>
                </c:pt>
                <c:pt idx="139">
                  <c:v>94.1</c:v>
                </c:pt>
                <c:pt idx="140">
                  <c:v>94.1</c:v>
                </c:pt>
                <c:pt idx="141">
                  <c:v>94.3</c:v>
                </c:pt>
                <c:pt idx="142">
                  <c:v>94.2</c:v>
                </c:pt>
                <c:pt idx="143">
                  <c:v>94.5</c:v>
                </c:pt>
                <c:pt idx="144">
                  <c:v>95.6</c:v>
                </c:pt>
                <c:pt idx="145">
                  <c:v>95.9</c:v>
                </c:pt>
                <c:pt idx="146">
                  <c:v>96.2</c:v>
                </c:pt>
                <c:pt idx="147">
                  <c:v>96.2</c:v>
                </c:pt>
                <c:pt idx="148">
                  <c:v>96.5</c:v>
                </c:pt>
                <c:pt idx="149">
                  <c:v>96</c:v>
                </c:pt>
                <c:pt idx="150">
                  <c:v>95</c:v>
                </c:pt>
                <c:pt idx="151">
                  <c:v>93.1</c:v>
                </c:pt>
                <c:pt idx="152">
                  <c:v>91.7</c:v>
                </c:pt>
                <c:pt idx="153">
                  <c:v>92.2</c:v>
                </c:pt>
                <c:pt idx="154">
                  <c:v>92.4</c:v>
                </c:pt>
                <c:pt idx="155">
                  <c:v>92.6</c:v>
                </c:pt>
                <c:pt idx="156">
                  <c:v>93.8</c:v>
                </c:pt>
                <c:pt idx="157">
                  <c:v>94.3</c:v>
                </c:pt>
                <c:pt idx="158">
                  <c:v>94.2</c:v>
                </c:pt>
                <c:pt idx="159">
                  <c:v>94.5</c:v>
                </c:pt>
                <c:pt idx="160">
                  <c:v>94.4</c:v>
                </c:pt>
                <c:pt idx="161">
                  <c:v>94.4</c:v>
                </c:pt>
                <c:pt idx="162">
                  <c:v>95.3</c:v>
                </c:pt>
                <c:pt idx="163">
                  <c:v>95.3</c:v>
                </c:pt>
                <c:pt idx="164">
                  <c:v>95.8</c:v>
                </c:pt>
                <c:pt idx="165">
                  <c:v>95</c:v>
                </c:pt>
                <c:pt idx="166">
                  <c:v>95.7</c:v>
                </c:pt>
                <c:pt idx="167">
                  <c:v>95.1</c:v>
                </c:pt>
                <c:pt idx="168">
                  <c:v>95.5</c:v>
                </c:pt>
                <c:pt idx="169">
                  <c:v>95.9</c:v>
                </c:pt>
                <c:pt idx="170">
                  <c:v>96</c:v>
                </c:pt>
                <c:pt idx="171">
                  <c:v>96</c:v>
                </c:pt>
                <c:pt idx="172">
                  <c:v>96.1</c:v>
                </c:pt>
                <c:pt idx="173">
                  <c:v>96.5</c:v>
                </c:pt>
                <c:pt idx="174">
                  <c:v>96.9</c:v>
                </c:pt>
                <c:pt idx="175">
                  <c:v>97.2</c:v>
                </c:pt>
                <c:pt idx="176">
                  <c:v>96.7</c:v>
                </c:pt>
                <c:pt idx="177">
                  <c:v>97.4</c:v>
                </c:pt>
                <c:pt idx="178">
                  <c:v>96.9</c:v>
                </c:pt>
                <c:pt idx="179">
                  <c:v>96.8</c:v>
                </c:pt>
                <c:pt idx="180">
                  <c:v>97.1</c:v>
                </c:pt>
                <c:pt idx="181">
                  <c:v>97.2</c:v>
                </c:pt>
                <c:pt idx="182">
                  <c:v>97.5</c:v>
                </c:pt>
                <c:pt idx="183">
                  <c:v>98.1</c:v>
                </c:pt>
                <c:pt idx="184">
                  <c:v>98.7</c:v>
                </c:pt>
                <c:pt idx="185">
                  <c:v>98.9</c:v>
                </c:pt>
                <c:pt idx="186">
                  <c:v>99.5</c:v>
                </c:pt>
                <c:pt idx="187">
                  <c:v>99.8</c:v>
                </c:pt>
                <c:pt idx="188">
                  <c:v>99.3</c:v>
                </c:pt>
                <c:pt idx="189">
                  <c:v>99.4</c:v>
                </c:pt>
                <c:pt idx="190">
                  <c:v>99.6</c:v>
                </c:pt>
                <c:pt idx="191">
                  <c:v>99.2</c:v>
                </c:pt>
                <c:pt idx="192">
                  <c:v>99.6</c:v>
                </c:pt>
                <c:pt idx="193">
                  <c:v>99.6</c:v>
                </c:pt>
                <c:pt idx="194">
                  <c:v>100.6</c:v>
                </c:pt>
                <c:pt idx="195">
                  <c:v>100.1</c:v>
                </c:pt>
                <c:pt idx="196">
                  <c:v>97.5</c:v>
                </c:pt>
                <c:pt idx="197">
                  <c:v>78.7</c:v>
                </c:pt>
                <c:pt idx="198">
                  <c:v>92.7</c:v>
                </c:pt>
                <c:pt idx="199">
                  <c:v>94.5</c:v>
                </c:pt>
                <c:pt idx="200">
                  <c:v>93.4</c:v>
                </c:pt>
                <c:pt idx="201">
                  <c:v>99.5</c:v>
                </c:pt>
                <c:pt idx="202">
                  <c:v>100.1</c:v>
                </c:pt>
                <c:pt idx="203">
                  <c:v>101.4</c:v>
                </c:pt>
                <c:pt idx="204">
                  <c:v>101.7</c:v>
                </c:pt>
                <c:pt idx="205">
                  <c:v>101.2</c:v>
                </c:pt>
                <c:pt idx="206">
                  <c:v>101.2</c:v>
                </c:pt>
                <c:pt idx="207">
                  <c:v>100.9</c:v>
                </c:pt>
                <c:pt idx="208">
                  <c:v>100.8</c:v>
                </c:pt>
                <c:pt idx="209">
                  <c:v>100.9</c:v>
                </c:pt>
                <c:pt idx="210">
                  <c:v>100.9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7A-4DBF-B35C-AEBDC5EA66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0646848"/>
        <c:axId val="949183296"/>
      </c:lineChart>
      <c:dateAx>
        <c:axId val="1280646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183296"/>
        <c:crosses val="autoZero"/>
        <c:auto val="0"/>
        <c:lblOffset val="100"/>
        <c:baseTimeUnit val="days"/>
        <c:majorUnit val="8"/>
      </c:dateAx>
      <c:valAx>
        <c:axId val="94918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0646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Selva-Radov</dc:creator>
  <cp:keywords/>
  <dc:description/>
  <cp:lastModifiedBy>Rohan Selva-Radov</cp:lastModifiedBy>
  <cp:revision>53</cp:revision>
  <dcterms:created xsi:type="dcterms:W3CDTF">2024-02-26T12:43:00Z</dcterms:created>
  <dcterms:modified xsi:type="dcterms:W3CDTF">2024-02-26T13:22:00Z</dcterms:modified>
</cp:coreProperties>
</file>