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Project Name: Script-Controlled ACL – Restrict Record Access Based on Field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1: Problem Solution 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In enterprise ServiceNow applications, sensitive records may need to be visible only to users who satisfy specific role and field-based conditions. If access is controlled only through general table permissions or roles, users may be able to view records that belong to a different branch. This creates important record-level security 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Unauthorized Record Visibility: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Users without the required access should not be able to view restricted branch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Field-Based Access Requirement: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Access must be controlled using the value of the Branch field, with EEE records restricted to the intended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Inconsistent Access Control: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Role-only security does not fully express the required record-level condition when access depends on record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Administrative Access Requirement: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Administrators must retain full access to records regardless of the branch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Target Audience &amp;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ServiceNow System Administrators, Application Administrators, Security Administrators, and developers responsible for implementing and maintaining record-level access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Problem-Solution Fit Matrix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Identified 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Proposed System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Business Value &amp;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Unauthorized users can view restricted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Script-controlled READ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Prevents users who do not satisfy the required access condition from viewing protected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Access depends on a record's Branch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Data condition: Branch is EEE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Restricts the READ access rule to records whose Branch field is EEE.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Role-only security may not provide the required record-level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Custom role requirement using bb1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Ensures the intended user role is part of the access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Administrators need unrestricted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Script check using gs.hasRole('admin')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Allows administrator users to retain full access to records regardless of branch.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Different operations require different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Separate READ, CREATE, WRITE and DELETE ACLs with roles bb1–bb4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Provides controlled permissions for viewing, creating, editing and deleting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Summary of 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 proposed solution directly addresses record-level security requirements by combining ServiceNow ACLs, custom roles, field-based conditions, and script-controlled access decisions. The READ ACL uses the Branch field condition and role-based checks to restrict access to EEE records, while administrators retain full access. Separate CREATE, WRITE, and DELETE ACLs extend controlled permissions to record creation, modification, and deletion. This provides a structured approach to protecting sensitive records from unauthorized viewing and changes.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7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