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775"/>
          <w:sz w:val="24"/>
        </w:rPr>
        <w:t>M.E. MODEL PROJECT REVIEW PACK</w:t>
      </w:r>
    </w:p>
    <w:p>
      <w:pPr>
        <w:pStyle w:val="Title"/>
        <w:jc w:val="center"/>
      </w:pPr>
      <w:r>
        <w:t>AVA Evaluation</w:t>
      </w:r>
    </w:p>
    <w:p>
      <w:pPr>
        <w:jc w:val="center"/>
      </w:pPr>
      <w:r>
        <w:rPr>
          <w:b/>
          <w:color w:val="173B43"/>
          <w:sz w:val="36"/>
        </w:rPr>
        <w:t>An Empirical Study of Conflict Resolution for Assertional State in Multi-Agent AI Systems</w:t>
      </w:r>
    </w:p>
    <w:p>
      <w:pPr>
        <w:jc w:val="center"/>
      </w:pPr>
      <w:r>
        <w:rPr>
          <w:color w:val="D97862"/>
          <w:sz w:val="30"/>
        </w:rPr>
        <w:t>Agree · Verify · Abstain</w:t>
      </w:r>
    </w:p>
    <w:p>
      <w:pPr>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owl.png"/>
                    <pic:cNvPicPr/>
                  </pic:nvPicPr>
                  <pic:blipFill>
                    <a:blip r:embed="rId10"/>
                    <a:stretch>
                      <a:fillRect/>
                    </a:stretch>
                  </pic:blipFill>
                  <pic:spPr>
                    <a:xfrm>
                      <a:off x="0" y="0"/>
                      <a:ext cx="1600200" cy="1600200"/>
                    </a:xfrm>
                    <a:prstGeom prst="rect"/>
                  </pic:spPr>
                </pic:pic>
              </a:graphicData>
            </a:graphic>
          </wp:inline>
        </w:drawing>
      </w:r>
    </w:p>
    <w:p>
      <w:pPr>
        <w:jc w:val="center"/>
      </w:pPr>
      <w:r>
        <w:rPr>
          <w:i/>
          <w:color w:val="64777A"/>
          <w:sz w:val="20"/>
        </w:rPr>
        <w:t>A provisional, classroom-ready review aid — not an official KEC template</w:t>
      </w:r>
    </w:p>
    <w:tbl>
      <w:tblPr>
        <w:tblW w:type="auto" w:w="0"/>
        <w:jc w:val="center"/>
        <w:tblLook w:firstColumn="1" w:firstRow="1" w:lastColumn="0" w:lastRow="0" w:noHBand="0" w:noVBand="1" w:val="04A0"/>
      </w:tblPr>
      <w:tblGrid>
        <w:gridCol w:w="9994"/>
      </w:tblGrid>
      <w:tr>
        <w:tc>
          <w:tcPr>
            <w:tcW w:type="dxa" w:w="9994"/>
            <w:shd w:fill="FFF1D5"/>
          </w:tcPr>
          <w:p>
            <w:pPr>
              <w:spacing w:after="20"/>
            </w:pPr>
            <w:r/>
            <w:r>
              <w:rPr>
                <w:b/>
                <w:color w:val="102F36"/>
                <w:sz w:val="20"/>
              </w:rPr>
              <w:t>STATUS: proposal/review only. Pass 3 literature verification is incomplete; novelty is unresolved; the convergence condition is a target, not a proven theorem. No protocol implementation or formal thesis/paper drafting is authorized yet.</w:t>
            </w:r>
          </w:p>
        </w:tc>
      </w:tr>
    </w:tbl>
    <w:p>
      <w:r>
        <w:br w:type="page"/>
      </w:r>
    </w:p>
    <w:p>
      <w:pPr>
        <w:pStyle w:val="Title"/>
      </w:pPr>
      <w:r>
        <w:t>At a glance</w:t>
      </w:r>
    </w:p>
    <w:p>
      <w:r>
        <w:t>This pack turns the supplied finalized specification into a practical review presentation structure. The eight module titles below are provisional headings derived from that specification because no official college module list or review template was supplied.</w:t>
      </w:r>
    </w:p>
    <w:tbl>
      <w:tblPr>
        <w:tblW w:type="auto" w:w="0"/>
        <w:jc w:val="center"/>
        <w:tblLook w:firstColumn="1" w:firstRow="1" w:lastColumn="0" w:lastRow="0" w:noHBand="0" w:noVBand="1" w:val="04A0"/>
      </w:tblPr>
      <w:tblGrid>
        <w:gridCol w:w="3331"/>
        <w:gridCol w:w="3331"/>
        <w:gridCol w:w="3331"/>
      </w:tblGrid>
      <w:tr>
        <w:tc>
          <w:tcPr>
            <w:tcW w:type="dxa" w:w="3331"/>
            <w:shd w:fill="DCEFE7"/>
          </w:tcPr>
          <w:p>
            <w:pPr>
              <w:spacing w:after="20"/>
            </w:pPr>
            <w:r/>
            <w:r>
              <w:rPr>
                <w:b/>
                <w:color w:val="173B43"/>
                <w:sz w:val="18"/>
              </w:rPr>
              <w:t>LOCKED IN SPEC</w:t>
            </w:r>
          </w:p>
        </w:tc>
        <w:tc>
          <w:tcPr>
            <w:tcW w:type="dxa" w:w="3331"/>
            <w:shd w:fill="DDEAF0"/>
          </w:tcPr>
          <w:p>
            <w:pPr>
              <w:spacing w:after="20"/>
            </w:pPr>
            <w:r/>
            <w:r>
              <w:rPr>
                <w:b/>
                <w:color w:val="173B43"/>
                <w:sz w:val="18"/>
              </w:rPr>
              <w:t>PARTIAL LITERATURE EVIDENCE</w:t>
            </w:r>
          </w:p>
        </w:tc>
        <w:tc>
          <w:tcPr>
            <w:tcW w:type="dxa" w:w="3331"/>
            <w:shd w:fill="FCE2DA"/>
          </w:tcPr>
          <w:p>
            <w:pPr>
              <w:spacing w:after="20"/>
            </w:pPr>
            <w:r/>
            <w:r>
              <w:rPr>
                <w:b/>
                <w:color w:val="173B43"/>
                <w:sz w:val="18"/>
              </w:rPr>
              <w:t>OPEN / NOT AUTHORIZED</w:t>
            </w:r>
          </w:p>
        </w:tc>
      </w:tr>
    </w:tbl>
    <w:p>
      <w:pPr>
        <w:pStyle w:val="ListBullet"/>
      </w:pPr>
      <w:r>
        <w:t>Locked in the supplied spec: project name/title; same-key assertional-state focus; four relation labels; three policy actions; listed comparison arms; fault model boundaries; metrics and staged phases.</w:t>
      </w:r>
    </w:p>
    <w:p>
      <w:pPr>
        <w:pStyle w:val="ListBullet"/>
      </w:pPr>
      <w:r>
        <w:t>Partial evidence: nearby studies already cover portions of semantic pair judgments, conflict-preserving state, provenance-aware resolution, abstention and asynchronous coordination. The comparisons below are scoped to the evidence saved so far.</w:t>
      </w:r>
    </w:p>
    <w:p>
      <w:pPr>
        <w:pStyle w:val="ListBullet"/>
      </w:pPr>
      <w:r>
        <w:t>Open: exact novelty claim; WH-1/2/3 authoritative definitions; same-key schema and label rules; classifier/policy mapping; annotation capacity, sample size, budget and supervisor/college expectations.</w:t>
      </w:r>
    </w:p>
    <w:p>
      <w:pPr>
        <w:pStyle w:val="Heading1"/>
      </w:pPr>
      <w:r>
        <w:t>60-second oral explanation</w:t>
      </w:r>
    </w:p>
    <w:p>
      <w:r>
        <w:t>“When several AI agents update shared state, every replica can receive the same events while the meaning is still wrong or unsafe. AVA studies assertions about the same declared key: first classify the relationship, then decide whether to agree, verify with evidence, or preserve the disagreement as unresolved. I plan to compare deterministic, semantic, hybrid and structured methods using separate measures for false merges, unnecessary conflicts, calibration and cost, then test selected methods under delayed, duplicated and reordered delivery. SCP-MA is the test environment, not a claimed new protocol. The literature gap is still being checked, so this review presents a research proposal, not a confirmed novelty claim or completed implementation.”</w:t>
      </w:r>
    </w:p>
    <w:p>
      <w:pPr>
        <w:jc w:val="center"/>
      </w:pPr>
      <w:r>
        <w:drawing>
          <wp:inline xmlns:a="http://schemas.openxmlformats.org/drawingml/2006/main" xmlns:pic="http://schemas.openxmlformats.org/drawingml/2006/picture">
            <wp:extent cx="6172200" cy="1728216"/>
            <wp:docPr id="2" name="Picture 2"/>
            <wp:cNvGraphicFramePr>
              <a:graphicFrameLocks noChangeAspect="1"/>
            </wp:cNvGraphicFramePr>
            <a:graphic>
              <a:graphicData uri="http://schemas.openxmlformats.org/drawingml/2006/picture">
                <pic:pic>
                  <pic:nvPicPr>
                    <pic:cNvPr id="0" name="ava_flow.png"/>
                    <pic:cNvPicPr/>
                  </pic:nvPicPr>
                  <pic:blipFill>
                    <a:blip r:embed="rId11"/>
                    <a:stretch>
                      <a:fillRect/>
                    </a:stretch>
                  </pic:blipFill>
                  <pic:spPr>
                    <a:xfrm>
                      <a:off x="0" y="0"/>
                      <a:ext cx="6172200" cy="1728216"/>
                    </a:xfrm>
                    <a:prstGeom prst="rect"/>
                  </pic:spPr>
                </pic:pic>
              </a:graphicData>
            </a:graphic>
          </wp:inline>
        </w:drawing>
      </w:r>
    </w:p>
    <w:p>
      <w:r>
        <w:br w:type="page"/>
      </w:r>
    </w:p>
    <w:p>
      <w:pPr>
        <w:pStyle w:val="Heading1"/>
      </w:pPr>
      <w:r>
        <w:t>Eight provisional review modules</w:t>
      </w:r>
    </w:p>
    <w:p>
      <w:r>
        <w:t>1. Problem and background — Why shared meaning can fail even when replicas agree</w:t>
      </w:r>
    </w:p>
    <w:p>
      <w:r>
        <w:t>2. Scope and state model — Separate additive facts from single-valued assertions</w:t>
      </w:r>
    </w:p>
    <w:p>
      <w:r>
        <w:t>3. Relation classes — Classify the relationship before choosing a policy action</w:t>
      </w:r>
    </w:p>
    <w:p>
      <w:r>
        <w:t>4. Agree / Verify / Abstain model — Keep policy actions distinct from terminal outcomes</w:t>
      </w:r>
    </w:p>
    <w:p>
      <w:r>
        <w:t>5. Research questions and comparison arms — Compare strong baselines fairly, and separate classifier from policy</w:t>
      </w:r>
    </w:p>
    <w:p>
      <w:r>
        <w:t>6. Dataset, annotation and metrics — Build a trustworthy gold set; report safety errors separately</w:t>
      </w:r>
    </w:p>
    <w:p>
      <w:r>
        <w:t>7. SCP-MA experiment and convergence target — Use a minimal fault simulator only after the research gate</w:t>
      </w:r>
    </w:p>
    <w:p>
      <w:r>
        <w:t>8. Risks, limitations and staged plan — Protect the research gate and keep the M.E. scope manageable</w:t>
      </w:r>
    </w:p>
    <w:p>
      <w:r>
        <w:br w:type="page"/>
      </w:r>
    </w:p>
    <w:p>
      <w:pPr>
        <w:pStyle w:val="Title"/>
      </w:pPr>
      <w:r>
        <w:t>Provisional Module 1</w:t>
      </w:r>
    </w:p>
    <w:p>
      <w:pPr>
        <w:pStyle w:val="Heading1"/>
      </w:pPr>
      <w:r>
        <w:t>Problem and background</w:t>
      </w:r>
    </w:p>
    <w:p>
      <w:r>
        <w:rPr>
          <w:i/>
          <w:color w:val="2F7775"/>
        </w:rPr>
        <w:t>Why shared meaning can fail even when replicas agree</w:t>
      </w:r>
    </w:p>
    <w:p>
      <w:pPr>
        <w:pStyle w:val="Heading2"/>
      </w:pPr>
      <w:r>
        <w:t>Core idea</w:t>
      </w:r>
    </w:p>
    <w:p>
      <w:r>
        <w:t>Several agents may write different statements about one shared fact. A replicated log can deliver every event to every replica and still leave the application with an unsafe or misleading meaning. AVA studies the decision made after same-key disagreement is detected; it is not a general consensus protocol or universal truth checker.</w:t>
      </w:r>
    </w:p>
    <w:p>
      <w:pPr>
        <w:pStyle w:val="Heading2"/>
      </w:pPr>
      <w:r>
        <w:t>What to say / show</w:t>
      </w:r>
    </w:p>
    <w:p>
      <w:pPr>
        <w:pStyle w:val="ListBullet"/>
      </w:pPr>
      <w:r>
        <w:t>Motivation: mechanical convergence is not semantic correctness.</w:t>
      </w:r>
    </w:p>
    <w:p>
      <w:pPr>
        <w:pStyle w:val="ListBullet"/>
      </w:pPr>
      <w:r>
        <w:t>Question: which assertion relationships can be safely reconciled, and when should the system verify or abstain?</w:t>
      </w:r>
    </w:p>
    <w:p>
      <w:pPr>
        <w:pStyle w:val="ListBullet"/>
      </w:pPr>
      <w:r>
        <w:t>Falsifiable stance: deterministic methods may beat semantic models; either result is valid.</w:t>
      </w:r>
    </w:p>
    <w:p>
      <w:pPr>
        <w:jc w:val="right"/>
      </w:pPr>
      <w:r>
        <w:drawing>
          <wp:inline xmlns:a="http://schemas.openxmlformats.org/drawingml/2006/main" xmlns:pic="http://schemas.openxmlformats.org/drawingml/2006/picture">
            <wp:extent cx="731520" cy="731520"/>
            <wp:docPr id="3" name="Picture 3"/>
            <wp:cNvGraphicFramePr>
              <a:graphicFrameLocks noChangeAspect="1"/>
            </wp:cNvGraphicFramePr>
            <a:graphic>
              <a:graphicData uri="http://schemas.openxmlformats.org/drawingml/2006/picture">
                <pic:pic>
                  <pic:nvPicPr>
                    <pic:cNvPr id="0" name="owl.png"/>
                    <pic:cNvPicPr/>
                  </pic:nvPicPr>
                  <pic:blipFill>
                    <a:blip r:embed="rId10"/>
                    <a:stretch>
                      <a:fillRect/>
                    </a:stretch>
                  </pic:blipFill>
                  <pic:spPr>
                    <a:xfrm>
                      <a:off x="0" y="0"/>
                      <a:ext cx="731520" cy="731520"/>
                    </a:xfrm>
                    <a:prstGeom prst="rect"/>
                  </pic:spPr>
                </pic:pic>
              </a:graphicData>
            </a:graphic>
          </wp:inline>
        </w:drawing>
      </w:r>
      <w:r>
        <w:rPr>
          <w:i/>
          <w:color w:val="64777A"/>
          <w:sz w:val="16"/>
        </w:rPr>
        <w:t xml:space="preserve">  Animal illustration is a teaching analogy only — not evidence or a model of the protocol.</w:t>
      </w:r>
    </w:p>
    <w:p>
      <w:pPr>
        <w:pStyle w:val="Heading2"/>
      </w:pPr>
      <w:r>
        <w:t>Short talk track</w:t>
      </w:r>
    </w:p>
    <w:tbl>
      <w:tblPr>
        <w:tblW w:type="auto" w:w="0"/>
        <w:tblLook w:firstColumn="1" w:firstRow="1" w:lastColumn="0" w:lastRow="0" w:noHBand="0" w:noVBand="1" w:val="04A0"/>
      </w:tblPr>
      <w:tblGrid>
        <w:gridCol w:w="9994"/>
      </w:tblGrid>
      <w:tr>
        <w:tc>
          <w:tcPr>
            <w:tcW w:type="dxa" w:w="9994"/>
            <w:shd w:fill="E5F0EB"/>
          </w:tcPr>
          <w:p>
            <w:pPr>
              <w:spacing w:after="20"/>
            </w:pPr>
            <w:r/>
            <w:r>
              <w:rPr>
                <w:b w:val="0"/>
                <w:color w:val="102F36"/>
                <w:sz w:val="20"/>
              </w:rPr>
              <w:t>“I am not claiming that AI must be better. I want to measure when each method can safely resolve a disagreement and when it should leave the state unresolved.”</w:t>
            </w:r>
          </w:p>
        </w:tc>
      </w:tr>
    </w:tbl>
    <w:p>
      <w:pPr>
        <w:pStyle w:val="Heading2"/>
      </w:pPr>
      <w:r>
        <w:t>Likely review question</w:t>
      </w:r>
    </w:p>
    <w:p>
      <w:r>
        <w:t>Ask: Is this a real systems problem? Answer: yes, as a bounded empirical problem; the size and originality of the gap still need verified literature comparison.</w:t>
      </w:r>
    </w:p>
    <w:p>
      <w:r>
        <w:br w:type="page"/>
      </w:r>
    </w:p>
    <w:p>
      <w:pPr>
        <w:pStyle w:val="Title"/>
      </w:pPr>
      <w:r>
        <w:t>Provisional Module 2</w:t>
      </w:r>
    </w:p>
    <w:p>
      <w:pPr>
        <w:pStyle w:val="Heading1"/>
      </w:pPr>
      <w:r>
        <w:t>Scope and state model</w:t>
      </w:r>
    </w:p>
    <w:p>
      <w:r>
        <w:rPr>
          <w:i/>
          <w:color w:val="2F7775"/>
        </w:rPr>
        <w:t>Separate additive facts from single-valued assertions</w:t>
      </w:r>
    </w:p>
    <w:p>
      <w:pPr>
        <w:pStyle w:val="Heading2"/>
      </w:pPr>
      <w:r>
        <w:t>Core idea</w:t>
      </w:r>
    </w:p>
    <w:p>
      <w:r>
        <w:t>The proposal separates state into additive state A and assertional state Q. Additive observations such as logs can be accumulated with standard CRDT structures. The focal case is a state key intended to have one value at a time, where competing values may conflict. An assertion records key, value, source agent, causal metadata such as a vector clock, and logical timestamp.</w:t>
      </w:r>
    </w:p>
    <w:p>
      <w:pPr>
        <w:pStyle w:val="Heading2"/>
      </w:pPr>
      <w:r>
        <w:t>What to say / show</w:t>
      </w:r>
    </w:p>
    <w:p>
      <w:pPr>
        <w:pStyle w:val="ListBullet"/>
      </w:pPr>
      <w:r>
        <w:t>In scope: pairs concerning the same declared key; cooperative agents; stale data; concurrent writes; delay, duplication, reordering, disconnection and reconnection.</w:t>
      </w:r>
    </w:p>
    <w:p>
      <w:pPr>
        <w:pStyle w:val="ListBullet"/>
      </w:pPr>
      <w:r>
        <w:t>Out of scope: Byzantine agents, permanent partitions, general open-domain contradiction, cross-key intent conflicts and organizational governance.</w:t>
      </w:r>
    </w:p>
    <w:p>
      <w:pPr>
        <w:pStyle w:val="ListBullet"/>
      </w:pPr>
      <w:r>
        <w:t>Key identity/cardinality and typed value schema must be specified before examples are labeled.</w:t>
      </w:r>
    </w:p>
    <w:p>
      <w:pPr>
        <w:pStyle w:val="Heading2"/>
      </w:pPr>
      <w:r>
        <w:t>Short talk track</w:t>
      </w:r>
    </w:p>
    <w:tbl>
      <w:tblPr>
        <w:tblW w:type="auto" w:w="0"/>
        <w:tblLook w:firstColumn="1" w:firstRow="1" w:lastColumn="0" w:lastRow="0" w:noHBand="0" w:noVBand="1" w:val="04A0"/>
      </w:tblPr>
      <w:tblGrid>
        <w:gridCol w:w="9994"/>
      </w:tblGrid>
      <w:tr>
        <w:tc>
          <w:tcPr>
            <w:tcW w:type="dxa" w:w="9994"/>
            <w:shd w:fill="E5F0EB"/>
          </w:tcPr>
          <w:p>
            <w:pPr>
              <w:spacing w:after="20"/>
            </w:pPr>
            <w:r/>
            <w:r>
              <w:rPr>
                <w:b w:val="0"/>
                <w:color w:val="102F36"/>
                <w:sz w:val="20"/>
              </w:rPr>
              <w:t>“The key is the anchor. If two values refer to different roles or time scopes, they may not be a conflict at all. The dataset must make that scope explicit.”</w:t>
            </w:r>
          </w:p>
        </w:tc>
      </w:tr>
    </w:tbl>
    <w:p>
      <w:pPr>
        <w:pStyle w:val="Heading2"/>
      </w:pPr>
      <w:r>
        <w:t>Likely review question</w:t>
      </w:r>
    </w:p>
    <w:p>
      <w:r>
        <w:t>Ask: Why not solve every conflict? Answer: cross-key invalid combinations and adversarial behavior are separate research problems and are explicitly excluded.</w:t>
      </w:r>
    </w:p>
    <w:p>
      <w:r>
        <w:br w:type="page"/>
      </w:r>
    </w:p>
    <w:p>
      <w:pPr>
        <w:pStyle w:val="Title"/>
      </w:pPr>
      <w:r>
        <w:t>Provisional Module 3</w:t>
      </w:r>
    </w:p>
    <w:p>
      <w:pPr>
        <w:pStyle w:val="Heading1"/>
      </w:pPr>
      <w:r>
        <w:t>Relation classes</w:t>
      </w:r>
    </w:p>
    <w:p>
      <w:r>
        <w:rPr>
          <w:i/>
          <w:color w:val="2F7775"/>
        </w:rPr>
        <w:t>Classify the relationship before choosing a policy action</w:t>
      </w:r>
    </w:p>
    <w:p>
      <w:pPr>
        <w:pStyle w:val="Heading2"/>
      </w:pPr>
      <w:r>
        <w:t>Core idea</w:t>
      </w:r>
    </w:p>
    <w:p>
      <w:r>
        <w:t>The specification names four pair classes. Paraphrase means the same fact in different wording. Compatible means both statements can be true together. Soft conflict is a genuine difference that a stated policy or temporal context could resolve. Hard conflict means mutually exclusive assertions that are unsafe to auto-merge. The labels concern the pair’s relationship, not the system’s action.</w:t>
      </w:r>
    </w:p>
    <w:p>
      <w:pPr>
        <w:pStyle w:val="Heading2"/>
      </w:pPr>
      <w:r>
        <w:t>What to say / show</w:t>
      </w:r>
    </w:p>
    <w:p>
      <w:pPr>
        <w:pStyle w:val="ListBullet"/>
      </w:pPr>
      <w:r>
        <w:t>Paraphrase: “PostgreSQL is selected” / “The project uses PostgreSQL.”</w:t>
      </w:r>
    </w:p>
    <w:p>
      <w:pPr>
        <w:pStyle w:val="ListBullet"/>
      </w:pPr>
      <w:r>
        <w:t>Compatible: two statements can both hold under clearly declared distinct roles/scopes.</w:t>
      </w:r>
    </w:p>
    <w:p>
      <w:pPr>
        <w:pStyle w:val="ListBullet"/>
      </w:pPr>
      <w:r>
        <w:t>Soft conflict: API v1 is in use while migration to v2 is underway, if the temporal transition is represented.</w:t>
      </w:r>
    </w:p>
    <w:p>
      <w:pPr>
        <w:pStyle w:val="ListBullet"/>
      </w:pPr>
      <w:r>
        <w:t>Hard conflict: database=PostgreSQL versus database=DynamoDB for the same role and time.</w:t>
      </w:r>
    </w:p>
    <w:p>
      <w:pPr>
        <w:jc w:val="right"/>
      </w:pPr>
      <w:r>
        <w:drawing>
          <wp:inline xmlns:a="http://schemas.openxmlformats.org/drawingml/2006/main" xmlns:pic="http://schemas.openxmlformats.org/drawingml/2006/picture">
            <wp:extent cx="731520" cy="731520"/>
            <wp:docPr id="4" name="Picture 4"/>
            <wp:cNvGraphicFramePr>
              <a:graphicFrameLocks noChangeAspect="1"/>
            </wp:cNvGraphicFramePr>
            <a:graphic>
              <a:graphicData uri="http://schemas.openxmlformats.org/drawingml/2006/picture">
                <pic:pic>
                  <pic:nvPicPr>
                    <pic:cNvPr id="0" name="fox.png"/>
                    <pic:cNvPicPr/>
                  </pic:nvPicPr>
                  <pic:blipFill>
                    <a:blip r:embed="rId12"/>
                    <a:stretch>
                      <a:fillRect/>
                    </a:stretch>
                  </pic:blipFill>
                  <pic:spPr>
                    <a:xfrm>
                      <a:off x="0" y="0"/>
                      <a:ext cx="731520" cy="731520"/>
                    </a:xfrm>
                    <a:prstGeom prst="rect"/>
                  </pic:spPr>
                </pic:pic>
              </a:graphicData>
            </a:graphic>
          </wp:inline>
        </w:drawing>
      </w:r>
      <w:r>
        <w:rPr>
          <w:i/>
          <w:color w:val="64777A"/>
          <w:sz w:val="16"/>
        </w:rPr>
        <w:t xml:space="preserve">  Animal illustration is a teaching analogy only — not evidence or a model of the protocol.</w:t>
      </w:r>
    </w:p>
    <w:p>
      <w:pPr>
        <w:pStyle w:val="Heading2"/>
      </w:pPr>
      <w:r>
        <w:t>Short talk track</w:t>
      </w:r>
    </w:p>
    <w:tbl>
      <w:tblPr>
        <w:tblW w:type="auto" w:w="0"/>
        <w:tblLook w:firstColumn="1" w:firstRow="1" w:lastColumn="0" w:lastRow="0" w:noHBand="0" w:noVBand="1" w:val="04A0"/>
      </w:tblPr>
      <w:tblGrid>
        <w:gridCol w:w="9994"/>
      </w:tblGrid>
      <w:tr>
        <w:tc>
          <w:tcPr>
            <w:tcW w:type="dxa" w:w="9994"/>
            <w:shd w:fill="E5F0EB"/>
          </w:tcPr>
          <w:p>
            <w:pPr>
              <w:spacing w:after="20"/>
            </w:pPr>
            <w:r/>
            <w:r>
              <w:rPr>
                <w:b w:val="0"/>
                <w:color w:val="102F36"/>
                <w:sz w:val="20"/>
              </w:rPr>
              <w:t>“First I label what relation the pair has. Only after that do I ask whether a policy should agree, verify, or abstain.”</w:t>
            </w:r>
          </w:p>
        </w:tc>
      </w:tr>
    </w:tbl>
    <w:p>
      <w:pPr>
        <w:pStyle w:val="Heading2"/>
      </w:pPr>
      <w:r>
        <w:t>Likely review question</w:t>
      </w:r>
    </w:p>
    <w:p>
      <w:r>
        <w:t>Design risk: the provided PostgreSQL/DynamoDB compatible example describes different database roles, so it may violate same-key scope unless the key includes role/context.</w:t>
      </w:r>
    </w:p>
    <w:p>
      <w:r>
        <w:br w:type="page"/>
      </w:r>
    </w:p>
    <w:p>
      <w:pPr>
        <w:pStyle w:val="Title"/>
      </w:pPr>
      <w:r>
        <w:t>Provisional Module 4</w:t>
      </w:r>
    </w:p>
    <w:p>
      <w:pPr>
        <w:pStyle w:val="Heading1"/>
      </w:pPr>
      <w:r>
        <w:t>Agree / Verify / Abstain model</w:t>
      </w:r>
    </w:p>
    <w:p>
      <w:r>
        <w:rPr>
          <w:i/>
          <w:color w:val="2F7775"/>
        </w:rPr>
        <w:t>Keep policy actions distinct from terminal outcomes</w:t>
      </w:r>
    </w:p>
    <w:p>
      <w:pPr>
        <w:pStyle w:val="Heading2"/>
      </w:pPr>
      <w:r>
        <w:t>Core idea</w:t>
      </w:r>
    </w:p>
    <w:p>
      <w:r>
        <w:t>AVA has three policy actions: Agree, Verify, Abstain. Verify is intermediate. It consults additional evidence such as provenance, timestamps, causal metadata, or deterministic rules. If the evidence supports a safe resolution it terminates as verified-agree; otherwise it terminates in abstention. Abstention preserves the competing assertions as UNRESOLVED rather than deleting or guessing.</w:t>
      </w:r>
    </w:p>
    <w:p>
      <w:pPr>
        <w:pStyle w:val="Heading2"/>
      </w:pPr>
      <w:r>
        <w:t>What to say / show</w:t>
      </w:r>
    </w:p>
    <w:p>
      <w:pPr>
        <w:pStyle w:val="ListBullet"/>
      </w:pPr>
      <w:r>
        <w:t>Direct Agree: sufficient support for immediate reconciliation.</w:t>
      </w:r>
    </w:p>
    <w:p>
      <w:pPr>
        <w:pStyle w:val="ListBullet"/>
      </w:pPr>
      <w:r>
        <w:t>Verify: do not merge yet; run an evidence check.</w:t>
      </w:r>
    </w:p>
    <w:p>
      <w:pPr>
        <w:pStyle w:val="ListBullet"/>
      </w:pPr>
      <w:r>
        <w:t>Abstain: preserve conflict and defer resolution.</w:t>
      </w:r>
    </w:p>
    <w:p>
      <w:pPr>
        <w:pStyle w:val="ListBullet"/>
      </w:pPr>
      <w:r>
        <w:t>In convergence-proof experiments, Verify must be a deterministic pure function of shared canonical inputs; a live stochastic model call is not convergence-safe.</w:t>
      </w:r>
    </w:p>
    <w:p>
      <w:pPr>
        <w:jc w:val="right"/>
      </w:pPr>
      <w:r>
        <w:drawing>
          <wp:inline xmlns:a="http://schemas.openxmlformats.org/drawingml/2006/main" xmlns:pic="http://schemas.openxmlformats.org/drawingml/2006/picture">
            <wp:extent cx="731520" cy="731520"/>
            <wp:docPr id="5" name="Picture 5"/>
            <wp:cNvGraphicFramePr>
              <a:graphicFrameLocks noChangeAspect="1"/>
            </wp:cNvGraphicFramePr>
            <a:graphic>
              <a:graphicData uri="http://schemas.openxmlformats.org/drawingml/2006/picture">
                <pic:pic>
                  <pic:nvPicPr>
                    <pic:cNvPr id="0" name="turtle.png"/>
                    <pic:cNvPicPr/>
                  </pic:nvPicPr>
                  <pic:blipFill>
                    <a:blip r:embed="rId13"/>
                    <a:stretch>
                      <a:fillRect/>
                    </a:stretch>
                  </pic:blipFill>
                  <pic:spPr>
                    <a:xfrm>
                      <a:off x="0" y="0"/>
                      <a:ext cx="731520" cy="731520"/>
                    </a:xfrm>
                    <a:prstGeom prst="rect"/>
                  </pic:spPr>
                </pic:pic>
              </a:graphicData>
            </a:graphic>
          </wp:inline>
        </w:drawing>
      </w:r>
      <w:r>
        <w:rPr>
          <w:i/>
          <w:color w:val="64777A"/>
          <w:sz w:val="16"/>
        </w:rPr>
        <w:t xml:space="preserve">  Animal illustration is a teaching analogy only — not evidence or a model of the protocol.</w:t>
      </w:r>
    </w:p>
    <w:p>
      <w:pPr>
        <w:pStyle w:val="Heading2"/>
      </w:pPr>
      <w:r>
        <w:t>Short talk track</w:t>
      </w:r>
    </w:p>
    <w:tbl>
      <w:tblPr>
        <w:tblW w:type="auto" w:w="0"/>
        <w:tblLook w:firstColumn="1" w:firstRow="1" w:lastColumn="0" w:lastRow="0" w:noHBand="0" w:noVBand="1" w:val="04A0"/>
      </w:tblPr>
      <w:tblGrid>
        <w:gridCol w:w="9994"/>
      </w:tblGrid>
      <w:tr>
        <w:tc>
          <w:tcPr>
            <w:tcW w:type="dxa" w:w="9994"/>
            <w:shd w:fill="E5F0EB"/>
          </w:tcPr>
          <w:p>
            <w:pPr>
              <w:spacing w:after="20"/>
            </w:pPr>
            <w:r/>
            <w:r>
              <w:rPr>
                <w:b w:val="0"/>
                <w:color w:val="102F36"/>
                <w:sz w:val="20"/>
              </w:rPr>
              <w:t>“Verify is not just choosing the newest write. It is a second-stage evidence check. If evidence is not enough, the system keeps both claims unresolved.”</w:t>
            </w:r>
          </w:p>
        </w:tc>
      </w:tr>
    </w:tbl>
    <w:p>
      <w:pPr>
        <w:pStyle w:val="Heading2"/>
      </w:pPr>
      <w:r>
        <w:t>Likely review question</w:t>
      </w:r>
    </w:p>
    <w:p>
      <w:r>
        <w:t>Ask: How is Verify different from B1? Answer: B1 is a winner-selection rule; Verify asks whether additional deterministic evidence justifies a safe decision.</w:t>
      </w:r>
    </w:p>
    <w:p>
      <w:r>
        <w:br w:type="page"/>
      </w:r>
    </w:p>
    <w:p>
      <w:pPr>
        <w:pStyle w:val="Title"/>
      </w:pPr>
      <w:r>
        <w:t>Provisional Module 5</w:t>
      </w:r>
    </w:p>
    <w:p>
      <w:pPr>
        <w:pStyle w:val="Heading1"/>
      </w:pPr>
      <w:r>
        <w:t>Research questions and comparison arms</w:t>
      </w:r>
    </w:p>
    <w:p>
      <w:r>
        <w:rPr>
          <w:i/>
          <w:color w:val="2F7775"/>
        </w:rPr>
        <w:t>Compare strong baselines fairly, and separate classifier from policy</w:t>
      </w:r>
    </w:p>
    <w:p>
      <w:pPr>
        <w:pStyle w:val="Heading2"/>
      </w:pPr>
      <w:r>
        <w:t>Core idea</w:t>
      </w:r>
    </w:p>
    <w:p>
      <w:r>
        <w:t>The primary question is whether decision mechanisms can reliably classify same-key assertion pairs and determine when to agree, verify, or abstain. The specification lists seven arms: deterministic winner selection; embeddings; NLI; a hybrid SCS formulation; LLM-as-a-Judge; Jev (System-One decision model); and conflict-preserving abstention.</w:t>
      </w:r>
    </w:p>
    <w:p>
      <w:pPr>
        <w:pStyle w:val="Heading2"/>
      </w:pPr>
      <w:r>
        <w:t>What to say / show</w:t>
      </w:r>
    </w:p>
    <w:p>
      <w:pPr>
        <w:pStyle w:val="ListBullet"/>
      </w:pPr>
      <w:r>
        <w:t>RQ1–RQ2: relation classification and semantic-versus-deterministic performance.</w:t>
      </w:r>
    </w:p>
    <w:p>
      <w:pPr>
        <w:pStyle w:val="ListBullet"/>
      </w:pPr>
      <w:r>
        <w:t>RQ3–RQ4: confidence-aware policy, calibration, latency and cost.</w:t>
      </w:r>
    </w:p>
    <w:p>
      <w:pPr>
        <w:pStyle w:val="ListBullet"/>
      </w:pPr>
      <w:r>
        <w:t>RQ5–RQ6: asynchronous behavior and scaling. RQ7: trust-weighting ablation.</w:t>
      </w:r>
    </w:p>
    <w:p>
      <w:pPr>
        <w:pStyle w:val="ListBullet"/>
      </w:pPr>
      <w:r>
        <w:t>Fairness issue: B1 and B7 are policies, while B2–B6 are primarily classifiers. Report classification separately from final resolution outcomes, with shared inputs and explicit mappings.</w:t>
      </w:r>
    </w:p>
    <w:p>
      <w:pPr>
        <w:pStyle w:val="Heading2"/>
      </w:pPr>
      <w:r>
        <w:t>Short talk track</w:t>
      </w:r>
    </w:p>
    <w:tbl>
      <w:tblPr>
        <w:tblW w:type="auto" w:w="0"/>
        <w:tblLook w:firstColumn="1" w:firstRow="1" w:lastColumn="0" w:lastRow="0" w:noHBand="0" w:noVBand="1" w:val="04A0"/>
      </w:tblPr>
      <w:tblGrid>
        <w:gridCol w:w="9994"/>
      </w:tblGrid>
      <w:tr>
        <w:tc>
          <w:tcPr>
            <w:tcW w:type="dxa" w:w="9994"/>
            <w:shd w:fill="E5F0EB"/>
          </w:tcPr>
          <w:p>
            <w:pPr>
              <w:spacing w:after="20"/>
            </w:pPr>
            <w:r/>
            <w:r>
              <w:rPr>
                <w:b w:val="0"/>
                <w:color w:val="102F36"/>
                <w:sz w:val="20"/>
              </w:rPr>
              <w:t>“I will not compare a classifier and a safety policy as if they do the same job. Classification quality and final resolution safety will be reported separately.”</w:t>
            </w:r>
          </w:p>
        </w:tc>
      </w:tr>
    </w:tbl>
    <w:p>
      <w:pPr>
        <w:pStyle w:val="Heading2"/>
      </w:pPr>
      <w:r>
        <w:t>Likely review question</w:t>
      </w:r>
    </w:p>
    <w:p>
      <w:r>
        <w:t>Open choice: determine whether the main thesis is a classifier benchmark, a policy comparison, or a narrow staged combination. Keep seven-arm breadth provisional until scope and resources are checked.</w:t>
      </w:r>
    </w:p>
    <w:p>
      <w:r>
        <w:br w:type="page"/>
      </w:r>
    </w:p>
    <w:p>
      <w:pPr>
        <w:pStyle w:val="Title"/>
      </w:pPr>
      <w:r>
        <w:t>Provisional Module 6</w:t>
      </w:r>
    </w:p>
    <w:p>
      <w:pPr>
        <w:pStyle w:val="Heading1"/>
      </w:pPr>
      <w:r>
        <w:t>Dataset, annotation and metrics</w:t>
      </w:r>
    </w:p>
    <w:p>
      <w:r>
        <w:rPr>
          <w:i/>
          <w:color w:val="2F7775"/>
        </w:rPr>
        <w:t>Build a trustworthy gold set; report safety errors separately</w:t>
      </w:r>
    </w:p>
    <w:p>
      <w:pPr>
        <w:pStyle w:val="Heading2"/>
      </w:pPr>
      <w:r>
        <w:t>Core idea</w:t>
      </w:r>
    </w:p>
    <w:p>
      <w:r>
        <w:t>Each record is intended to include assertion pair, declared key, agents, context, temporal context, evidence, gold relation label and difficulty. The proposed construction has controlled synthetic examples, LLM-generated realistic examples, and real traces only where lawful and practical. Ground truth requires multiple human annotators, agreement measurement and adjudication; an LLM alone is not a gold-label authority.</w:t>
      </w:r>
    </w:p>
    <w:p>
      <w:pPr>
        <w:pStyle w:val="Heading2"/>
      </w:pPr>
      <w:r>
        <w:t>What to say / show</w:t>
      </w:r>
    </w:p>
    <w:p>
      <w:pPr>
        <w:pStyle w:val="ListBullet"/>
      </w:pPr>
      <w:r>
        <w:t>Classification: accuracy, precision, recall, macro/per-class F1.</w:t>
      </w:r>
    </w:p>
    <w:p>
      <w:pPr>
        <w:pStyle w:val="ListBullet"/>
      </w:pPr>
      <w:r>
        <w:t>Safety: FMR counts incorrect Agree outcomes on true conflicts; FCR counts failures to safely resolve true paraphrase/compatible cases. Unnecessary abstention is a named subset of FCR and is intentionally reported separately too.</w:t>
      </w:r>
    </w:p>
    <w:p>
      <w:pPr>
        <w:pStyle w:val="ListBullet"/>
      </w:pPr>
      <w:r>
        <w:t>Calibration: ECE, Brier, reliability diagrams, risk–coverage, selective accuracy. Cost: latency, tokens/API calls, compute, throughput.</w:t>
      </w:r>
    </w:p>
    <w:p>
      <w:pPr>
        <w:pStyle w:val="ListBullet"/>
      </w:pPr>
      <w:r>
        <w:t>Pre-register annotation guide, key schema, split strategy, leakage controls and sample-size rationale before benchmark implementation.</w:t>
      </w:r>
    </w:p>
    <w:p>
      <w:pPr>
        <w:pStyle w:val="Heading2"/>
      </w:pPr>
      <w:r>
        <w:t>Short talk track</w:t>
      </w:r>
    </w:p>
    <w:tbl>
      <w:tblPr>
        <w:tblW w:type="auto" w:w="0"/>
        <w:tblLook w:firstColumn="1" w:firstRow="1" w:lastColumn="0" w:lastRow="0" w:noHBand="0" w:noVBand="1" w:val="04A0"/>
      </w:tblPr>
      <w:tblGrid>
        <w:gridCol w:w="9994"/>
      </w:tblGrid>
      <w:tr>
        <w:tc>
          <w:tcPr>
            <w:tcW w:type="dxa" w:w="9994"/>
            <w:shd w:fill="E5F0EB"/>
          </w:tcPr>
          <w:p>
            <w:pPr>
              <w:spacing w:after="20"/>
            </w:pPr>
            <w:r/>
            <w:r>
              <w:rPr>
                <w:b w:val="0"/>
                <w:color w:val="102F36"/>
                <w:sz w:val="20"/>
              </w:rPr>
              <w:t>“A false merge can be dangerous, so I report it separately from needless abstention. I will not hide either inside one score.”</w:t>
            </w:r>
          </w:p>
        </w:tc>
      </w:tr>
    </w:tbl>
    <w:p>
      <w:pPr>
        <w:pStyle w:val="Heading2"/>
      </w:pPr>
      <w:r>
        <w:t>Likely review question</w:t>
      </w:r>
    </w:p>
    <w:p>
      <w:r>
        <w:t>Open decisions: annotation capacity, sample size/power, adjudication protocol, domain balance and whether context/provenance is visible to each classifier.</w:t>
      </w:r>
    </w:p>
    <w:p>
      <w:r>
        <w:br w:type="page"/>
      </w:r>
    </w:p>
    <w:p>
      <w:pPr>
        <w:pStyle w:val="Title"/>
      </w:pPr>
      <w:r>
        <w:t>Provisional Module 7</w:t>
      </w:r>
    </w:p>
    <w:p>
      <w:pPr>
        <w:pStyle w:val="Heading1"/>
      </w:pPr>
      <w:r>
        <w:t>SCP-MA experiment and convergence target</w:t>
      </w:r>
    </w:p>
    <w:p>
      <w:r>
        <w:rPr>
          <w:i/>
          <w:color w:val="2F7775"/>
        </w:rPr>
        <w:t>Use a minimal fault simulator only after the research gate</w:t>
      </w:r>
    </w:p>
    <w:p>
      <w:pPr>
        <w:pStyle w:val="Heading2"/>
      </w:pPr>
      <w:r>
        <w:t>Core idea</w:t>
      </w:r>
    </w:p>
    <w:p>
      <w:r>
        <w:t>SCP-MA is the evaluation environment, not a claimed novel protocol. It models concurrent cooperative agents, immutable events, causal metadata, asynchronous delivery faults and eventual reconciliation. State is projected from an event history; semantic conflict does not trigger destructive rollback. The target property says that replicas with the same valid event set should compute the same deterministic projection after canonicalization.</w:t>
      </w:r>
    </w:p>
    <w:p>
      <w:pPr>
        <w:pStyle w:val="Heading2"/>
      </w:pPr>
      <w:r>
        <w:t>What to say / show</w:t>
      </w:r>
    </w:p>
    <w:p>
      <w:pPr>
        <w:pStyle w:val="ListBullet"/>
      </w:pPr>
      <w:r>
        <w:t>Validate event-set convergence in a semantics-free simulator before adding semantic decision methods.</w:t>
      </w:r>
    </w:p>
    <w:p>
      <w:pPr>
        <w:pStyle w:val="ListBullet"/>
      </w:pPr>
      <w:r>
        <w:t>Inject delay, duplication, reordering, temporary disconnection and reconnection. Measure convergence rate/latency, divergence, messages/bytes, recovery and duplicate handling.</w:t>
      </w:r>
    </w:p>
    <w:p>
      <w:pPr>
        <w:pStyle w:val="ListBullet"/>
      </w:pPr>
      <w:r>
        <w:t>For convergence-critical arms, classification/Verify must be deterministic or use decision caching/replay. Model-based Verify is a separate non-convergence-safe condition.</w:t>
      </w:r>
    </w:p>
    <w:p>
      <w:pPr>
        <w:pStyle w:val="ListBullet"/>
      </w:pPr>
      <w:r>
        <w:t>Do not describe the target as a proved theorem: determinism, canonicalization and exact projected state remain obligations.</w:t>
      </w:r>
    </w:p>
    <w:p>
      <w:pPr>
        <w:jc w:val="right"/>
      </w:pPr>
      <w:r>
        <w:drawing>
          <wp:inline xmlns:a="http://schemas.openxmlformats.org/drawingml/2006/main" xmlns:pic="http://schemas.openxmlformats.org/drawingml/2006/picture">
            <wp:extent cx="731520" cy="731520"/>
            <wp:docPr id="6" name="Picture 6"/>
            <wp:cNvGraphicFramePr>
              <a:graphicFrameLocks noChangeAspect="1"/>
            </wp:cNvGraphicFramePr>
            <a:graphic>
              <a:graphicData uri="http://schemas.openxmlformats.org/drawingml/2006/picture">
                <pic:pic>
                  <pic:nvPicPr>
                    <pic:cNvPr id="0" name="bee.png"/>
                    <pic:cNvPicPr/>
                  </pic:nvPicPr>
                  <pic:blipFill>
                    <a:blip r:embed="rId14"/>
                    <a:stretch>
                      <a:fillRect/>
                    </a:stretch>
                  </pic:blipFill>
                  <pic:spPr>
                    <a:xfrm>
                      <a:off x="0" y="0"/>
                      <a:ext cx="731520" cy="731520"/>
                    </a:xfrm>
                    <a:prstGeom prst="rect"/>
                  </pic:spPr>
                </pic:pic>
              </a:graphicData>
            </a:graphic>
          </wp:inline>
        </w:drawing>
      </w:r>
      <w:r>
        <w:rPr>
          <w:i/>
          <w:color w:val="64777A"/>
          <w:sz w:val="16"/>
        </w:rPr>
        <w:t xml:space="preserve">  Animal illustration is a teaching analogy only — not evidence or a model of the protocol.</w:t>
      </w:r>
    </w:p>
    <w:p>
      <w:pPr>
        <w:pStyle w:val="Heading2"/>
      </w:pPr>
      <w:r>
        <w:t>Short talk track</w:t>
      </w:r>
    </w:p>
    <w:tbl>
      <w:tblPr>
        <w:tblW w:type="auto" w:w="0"/>
        <w:tblLook w:firstColumn="1" w:firstRow="1" w:lastColumn="0" w:lastRow="0" w:noHBand="0" w:noVBand="1" w:val="04A0"/>
      </w:tblPr>
      <w:tblGrid>
        <w:gridCol w:w="9994"/>
      </w:tblGrid>
      <w:tr>
        <w:tc>
          <w:tcPr>
            <w:tcW w:type="dxa" w:w="9994"/>
            <w:shd w:fill="E5F0EB"/>
          </w:tcPr>
          <w:p>
            <w:pPr>
              <w:spacing w:after="20"/>
            </w:pPr>
            <w:r/>
            <w:r>
              <w:rPr>
                <w:b w:val="0"/>
                <w:color w:val="102F36"/>
                <w:sz w:val="20"/>
              </w:rPr>
              <w:t>“The simulator tests whether delivery faults change the result. First I would prove the event mechanics with no semantic model; then add only methods that meet each arm’s stated determinism conditions.”</w:t>
            </w:r>
          </w:p>
        </w:tc>
      </w:tr>
    </w:tbl>
    <w:p>
      <w:pPr>
        <w:pStyle w:val="Heading2"/>
      </w:pPr>
      <w:r>
        <w:t>Likely review question</w:t>
      </w:r>
    </w:p>
    <w:p>
      <w:r>
        <w:t>Ask: Is SCP-MA the novelty? Answer: no; it is the experimental scaffold. Any novelty claim must come from verified research question and evidence, not the simulator name.</w:t>
      </w:r>
    </w:p>
    <w:p>
      <w:r>
        <w:br w:type="page"/>
      </w:r>
    </w:p>
    <w:p>
      <w:pPr>
        <w:pStyle w:val="Title"/>
      </w:pPr>
      <w:r>
        <w:t>Provisional Module 8</w:t>
      </w:r>
    </w:p>
    <w:p>
      <w:pPr>
        <w:pStyle w:val="Heading1"/>
      </w:pPr>
      <w:r>
        <w:t>Risks, limitations and staged plan</w:t>
      </w:r>
    </w:p>
    <w:p>
      <w:r>
        <w:rPr>
          <w:i/>
          <w:color w:val="2F7775"/>
        </w:rPr>
        <w:t>Protect the research gate and keep the M.E. scope manageable</w:t>
      </w:r>
    </w:p>
    <w:p>
      <w:pPr>
        <w:pStyle w:val="Heading2"/>
      </w:pPr>
      <w:r>
        <w:t>Core idea</w:t>
      </w:r>
    </w:p>
    <w:p>
      <w:r>
        <w:t>The project remains at the literature and design gate. Pass 3 full-text/source-wide verification is incomplete, the novelty gap is unresolved, the exact WH-1/2/3 definitions are absent from the supplied spec, and convergence is a target rather than a proof. No protocol implementation or formal thesis/paper drafting is authorized yet. This pack is for review discussion only.</w:t>
      </w:r>
    </w:p>
    <w:p>
      <w:pPr>
        <w:pStyle w:val="Heading2"/>
      </w:pPr>
      <w:r>
        <w:t>What to say / show</w:t>
      </w:r>
    </w:p>
    <w:p>
      <w:pPr>
        <w:pStyle w:val="ListBullet"/>
      </w:pPr>
      <w:r>
        <w:t>Gate 1: finish primary-source and NLI/contradiction review; actively challenge the candidate gap.</w:t>
      </w:r>
    </w:p>
    <w:p>
      <w:pPr>
        <w:pStyle w:val="ListBullet"/>
      </w:pPr>
      <w:r>
        <w:t>Gate 2: settle key schema, label rules, policy/classifier separation, evidence access, and safe Verify semantics.</w:t>
      </w:r>
    </w:p>
    <w:p>
      <w:pPr>
        <w:pStyle w:val="ListBullet"/>
      </w:pPr>
      <w:r>
        <w:t>Gate 3: check college scope, annotation feasibility, compute/API budget and supervisor expectations; these facts are not supplied.</w:t>
      </w:r>
    </w:p>
    <w:p>
      <w:pPr>
        <w:pStyle w:val="ListBullet"/>
      </w:pPr>
      <w:r>
        <w:t>If the question survives: prioritize a small reproducible benchmark and safety–utility analysis; keep the simulator minimal and scaling as stretch work. If not, narrow, reframe, or abandon rather than retrofitting novelty.</w:t>
      </w:r>
    </w:p>
    <w:p>
      <w:pPr>
        <w:pStyle w:val="Heading2"/>
      </w:pPr>
      <w:r>
        <w:t>Short talk track</w:t>
      </w:r>
    </w:p>
    <w:tbl>
      <w:tblPr>
        <w:tblW w:type="auto" w:w="0"/>
        <w:tblLook w:firstColumn="1" w:firstRow="1" w:lastColumn="0" w:lastRow="0" w:noHBand="0" w:noVBand="1" w:val="04A0"/>
      </w:tblPr>
      <w:tblGrid>
        <w:gridCol w:w="9994"/>
      </w:tblGrid>
      <w:tr>
        <w:tc>
          <w:tcPr>
            <w:tcW w:type="dxa" w:w="9994"/>
            <w:shd w:fill="E5F0EB"/>
          </w:tcPr>
          <w:p>
            <w:pPr>
              <w:spacing w:after="20"/>
            </w:pPr>
            <w:r/>
            <w:r>
              <w:rPr>
                <w:b w:val="0"/>
                <w:color w:val="102F36"/>
                <w:sz w:val="20"/>
              </w:rPr>
              <w:t>“My next step is not coding. It is to finish the literature attack and resolve the design decisions. If the gap does not survive, I will narrow or change direction instead of claiming novelty.”</w:t>
            </w:r>
          </w:p>
        </w:tc>
      </w:tr>
    </w:tbl>
    <w:p>
      <w:pPr>
        <w:pStyle w:val="Heading2"/>
      </w:pPr>
      <w:r>
        <w:t>Likely review question</w:t>
      </w:r>
    </w:p>
    <w:p>
      <w:r>
        <w:t>Unverified facts not to invent: official KEC module names/template, supervisor requirements, deadlines, annotation pool, budget, results, and implementation status.</w:t>
      </w:r>
    </w:p>
    <w:p>
      <w:r>
        <w:br w:type="page"/>
      </w:r>
    </w:p>
    <w:p>
      <w:pPr>
        <w:pStyle w:val="Title"/>
      </w:pPr>
      <w:r>
        <w:t>How the seven arms fit together</w:t>
      </w:r>
    </w:p>
    <w:p>
      <w:r>
        <w:t>The supplied specification lists seven arms, but they do not all operate at the same layer. Treat the table as the planned comparison, not evidence that a fair design is already settled.</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shd w:fill="173B43"/>
          </w:tcPr>
          <w:p>
            <w:pPr>
              <w:spacing w:after="20"/>
            </w:pPr>
            <w:r/>
            <w:r>
              <w:rPr>
                <w:b/>
                <w:color w:val="FFFFFF"/>
                <w:sz w:val="18"/>
              </w:rPr>
              <w:t>Arm</w:t>
            </w:r>
          </w:p>
        </w:tc>
        <w:tc>
          <w:tcPr>
            <w:tcW w:type="dxa" w:w="3331"/>
            <w:shd w:fill="173B43"/>
          </w:tcPr>
          <w:p>
            <w:pPr>
              <w:spacing w:after="20"/>
            </w:pPr>
            <w:r/>
            <w:r>
              <w:rPr>
                <w:b/>
                <w:color w:val="FFFFFF"/>
                <w:sz w:val="18"/>
              </w:rPr>
              <w:t>Role in the study</w:t>
            </w:r>
          </w:p>
        </w:tc>
        <w:tc>
          <w:tcPr>
            <w:tcW w:type="dxa" w:w="3331"/>
            <w:shd w:fill="173B43"/>
          </w:tcPr>
          <w:p>
            <w:pPr>
              <w:spacing w:after="20"/>
            </w:pPr>
            <w:r/>
            <w:r>
              <w:rPr>
                <w:b/>
                <w:color w:val="FFFFFF"/>
                <w:sz w:val="18"/>
              </w:rPr>
              <w:t>Fair-comparison note</w:t>
            </w:r>
          </w:p>
        </w:tc>
      </w:tr>
      <w:tr>
        <w:tc>
          <w:tcPr>
            <w:tcW w:type="dxa" w:w="3331"/>
          </w:tcPr>
          <w:p>
            <w:pPr>
              <w:spacing w:after="20"/>
            </w:pPr>
            <w:r/>
            <w:r>
              <w:rPr>
                <w:b w:val="0"/>
                <w:color w:val="203338"/>
                <w:sz w:val="16"/>
              </w:rPr>
              <w:t>B1 deterministic argmax(timestamp, agent_id)</w:t>
            </w:r>
          </w:p>
        </w:tc>
        <w:tc>
          <w:tcPr>
            <w:tcW w:type="dxa" w:w="3331"/>
          </w:tcPr>
          <w:p>
            <w:pPr>
              <w:spacing w:after="20"/>
            </w:pPr>
            <w:r/>
            <w:r>
              <w:rPr>
                <w:b w:val="0"/>
                <w:color w:val="203338"/>
                <w:sz w:val="16"/>
              </w:rPr>
              <w:t>Winner-selection baseline</w:t>
            </w:r>
          </w:p>
        </w:tc>
        <w:tc>
          <w:tcPr>
            <w:tcW w:type="dxa" w:w="3331"/>
          </w:tcPr>
          <w:p>
            <w:pPr>
              <w:spacing w:after="20"/>
            </w:pPr>
            <w:r/>
            <w:r>
              <w:rPr>
                <w:b w:val="0"/>
                <w:color w:val="203338"/>
                <w:sz w:val="16"/>
              </w:rPr>
              <w:t>Resolution policy; not itself a four-class classifier.</w:t>
            </w:r>
          </w:p>
        </w:tc>
      </w:tr>
      <w:tr>
        <w:tc>
          <w:tcPr>
            <w:tcW w:type="dxa" w:w="3331"/>
          </w:tcPr>
          <w:p>
            <w:pPr>
              <w:spacing w:after="20"/>
            </w:pPr>
            <w:r/>
            <w:r>
              <w:rPr>
                <w:b w:val="0"/>
                <w:color w:val="203338"/>
                <w:sz w:val="16"/>
              </w:rPr>
              <w:t>B2 embeddings</w:t>
            </w:r>
          </w:p>
        </w:tc>
        <w:tc>
          <w:tcPr>
            <w:tcW w:type="dxa" w:w="3331"/>
          </w:tcPr>
          <w:p>
            <w:pPr>
              <w:spacing w:after="20"/>
            </w:pPr>
            <w:r/>
            <w:r>
              <w:rPr>
                <w:b w:val="0"/>
                <w:color w:val="203338"/>
                <w:sz w:val="16"/>
              </w:rPr>
              <w:t>Semantic similarity signal</w:t>
            </w:r>
          </w:p>
        </w:tc>
        <w:tc>
          <w:tcPr>
            <w:tcW w:type="dxa" w:w="3331"/>
          </w:tcPr>
          <w:p>
            <w:pPr>
              <w:spacing w:after="20"/>
            </w:pPr>
            <w:r/>
            <w:r>
              <w:rPr>
                <w:b w:val="0"/>
                <w:color w:val="203338"/>
                <w:sz w:val="16"/>
              </w:rPr>
              <w:t>Similarity is not logical compatibility; evaluate empirically.</w:t>
            </w:r>
          </w:p>
        </w:tc>
      </w:tr>
      <w:tr>
        <w:tc>
          <w:tcPr>
            <w:tcW w:type="dxa" w:w="3331"/>
          </w:tcPr>
          <w:p>
            <w:pPr>
              <w:spacing w:after="20"/>
            </w:pPr>
            <w:r/>
            <w:r>
              <w:rPr>
                <w:b w:val="0"/>
                <w:color w:val="203338"/>
                <w:sz w:val="16"/>
              </w:rPr>
              <w:t>B3 NLI</w:t>
            </w:r>
          </w:p>
        </w:tc>
        <w:tc>
          <w:tcPr>
            <w:tcW w:type="dxa" w:w="3331"/>
          </w:tcPr>
          <w:p>
            <w:pPr>
              <w:spacing w:after="20"/>
            </w:pPr>
            <w:r/>
            <w:r>
              <w:rPr>
                <w:b w:val="0"/>
                <w:color w:val="203338"/>
                <w:sz w:val="16"/>
              </w:rPr>
              <w:t>Entailment / contradiction / neutral signal</w:t>
            </w:r>
          </w:p>
        </w:tc>
        <w:tc>
          <w:tcPr>
            <w:tcW w:type="dxa" w:w="3331"/>
          </w:tcPr>
          <w:p>
            <w:pPr>
              <w:spacing w:after="20"/>
            </w:pPr>
            <w:r/>
            <w:r>
              <w:rPr>
                <w:b w:val="0"/>
                <w:color w:val="203338"/>
                <w:sz w:val="16"/>
              </w:rPr>
              <w:t>Specify pair/context input consistently.</w:t>
            </w:r>
          </w:p>
        </w:tc>
      </w:tr>
      <w:tr>
        <w:tc>
          <w:tcPr>
            <w:tcW w:type="dxa" w:w="3331"/>
          </w:tcPr>
          <w:p>
            <w:pPr>
              <w:spacing w:after="20"/>
            </w:pPr>
            <w:r/>
            <w:r>
              <w:rPr>
                <w:b w:val="0"/>
                <w:color w:val="203338"/>
                <w:sz w:val="16"/>
              </w:rPr>
              <w:t>B4 hybrid SCS</w:t>
            </w:r>
          </w:p>
        </w:tc>
        <w:tc>
          <w:tcPr>
            <w:tcW w:type="dxa" w:w="3331"/>
          </w:tcPr>
          <w:p>
            <w:pPr>
              <w:spacing w:after="20"/>
            </w:pPr>
            <w:r/>
            <w:r>
              <w:rPr>
                <w:b w:val="0"/>
                <w:color w:val="203338"/>
                <w:sz w:val="16"/>
              </w:rPr>
              <w:t>Cosine-distance + distance term</w:t>
            </w:r>
          </w:p>
        </w:tc>
        <w:tc>
          <w:tcPr>
            <w:tcW w:type="dxa" w:w="3331"/>
          </w:tcPr>
          <w:p>
            <w:pPr>
              <w:spacing w:after="20"/>
            </w:pPr>
            <w:r/>
            <w:r>
              <w:rPr>
                <w:b w:val="0"/>
                <w:color w:val="203338"/>
                <w:sz w:val="16"/>
              </w:rPr>
              <w:t>Weights/formula are experimental choices, not assumed optimal.</w:t>
            </w:r>
          </w:p>
        </w:tc>
      </w:tr>
      <w:tr>
        <w:tc>
          <w:tcPr>
            <w:tcW w:type="dxa" w:w="3331"/>
          </w:tcPr>
          <w:p>
            <w:pPr>
              <w:spacing w:after="20"/>
            </w:pPr>
            <w:r/>
            <w:r>
              <w:rPr>
                <w:b w:val="0"/>
                <w:color w:val="203338"/>
                <w:sz w:val="16"/>
              </w:rPr>
              <w:t>B5 LLM-as-a-Judge</w:t>
            </w:r>
          </w:p>
        </w:tc>
        <w:tc>
          <w:tcPr>
            <w:tcW w:type="dxa" w:w="3331"/>
          </w:tcPr>
          <w:p>
            <w:pPr>
              <w:spacing w:after="20"/>
            </w:pPr>
            <w:r/>
            <w:r>
              <w:rPr>
                <w:b w:val="0"/>
                <w:color w:val="203338"/>
                <w:sz w:val="16"/>
              </w:rPr>
              <w:t>Generative pair judgment</w:t>
            </w:r>
          </w:p>
        </w:tc>
        <w:tc>
          <w:tcPr>
            <w:tcW w:type="dxa" w:w="3331"/>
          </w:tcPr>
          <w:p>
            <w:pPr>
              <w:spacing w:after="20"/>
            </w:pPr>
            <w:r/>
            <w:r>
              <w:rPr>
                <w:b w:val="0"/>
                <w:color w:val="203338"/>
                <w:sz w:val="16"/>
              </w:rPr>
              <w:t>Fix model/version/prompt/temp; repeat and report variance.</w:t>
            </w:r>
          </w:p>
        </w:tc>
      </w:tr>
      <w:tr>
        <w:tc>
          <w:tcPr>
            <w:tcW w:type="dxa" w:w="3331"/>
          </w:tcPr>
          <w:p>
            <w:pPr>
              <w:spacing w:after="20"/>
            </w:pPr>
            <w:r/>
            <w:r>
              <w:rPr>
                <w:b w:val="0"/>
                <w:color w:val="203338"/>
                <w:sz w:val="16"/>
              </w:rPr>
              <w:t>B6 Jev (System-One decision model)</w:t>
            </w:r>
          </w:p>
        </w:tc>
        <w:tc>
          <w:tcPr>
            <w:tcW w:type="dxa" w:w="3331"/>
          </w:tcPr>
          <w:p>
            <w:pPr>
              <w:spacing w:after="20"/>
            </w:pPr>
            <w:r/>
            <w:r>
              <w:rPr>
                <w:b w:val="0"/>
                <w:color w:val="203338"/>
                <w:sz w:val="16"/>
              </w:rPr>
              <w:t>Structured decision questions</w:t>
            </w:r>
          </w:p>
        </w:tc>
        <w:tc>
          <w:tcPr>
            <w:tcW w:type="dxa" w:w="3331"/>
          </w:tcPr>
          <w:p>
            <w:pPr>
              <w:spacing w:after="20"/>
            </w:pPr>
            <w:r/>
            <w:r>
              <w:rPr>
                <w:b w:val="0"/>
                <w:color w:val="203338"/>
                <w:sz w:val="16"/>
              </w:rPr>
              <w:t>Compare calibration, accuracy, cost with same evidence access.</w:t>
            </w:r>
          </w:p>
        </w:tc>
      </w:tr>
      <w:tr>
        <w:tc>
          <w:tcPr>
            <w:tcW w:type="dxa" w:w="3331"/>
          </w:tcPr>
          <w:p>
            <w:pPr>
              <w:spacing w:after="20"/>
            </w:pPr>
            <w:r/>
            <w:r>
              <w:rPr>
                <w:b w:val="0"/>
                <w:color w:val="203338"/>
                <w:sz w:val="16"/>
              </w:rPr>
              <w:t>B7 conflict-preserving abstention</w:t>
            </w:r>
          </w:p>
        </w:tc>
        <w:tc>
          <w:tcPr>
            <w:tcW w:type="dxa" w:w="3331"/>
          </w:tcPr>
          <w:p>
            <w:pPr>
              <w:spacing w:after="20"/>
            </w:pPr>
            <w:r/>
            <w:r>
              <w:rPr>
                <w:b w:val="0"/>
                <w:color w:val="203338"/>
                <w:sz w:val="16"/>
              </w:rPr>
              <w:t>Safety baseline: preserve as UNRESOLVED</w:t>
            </w:r>
          </w:p>
        </w:tc>
        <w:tc>
          <w:tcPr>
            <w:tcW w:type="dxa" w:w="3331"/>
          </w:tcPr>
          <w:p>
            <w:pPr>
              <w:spacing w:after="20"/>
            </w:pPr>
            <w:r/>
            <w:r>
              <w:rPr>
                <w:b w:val="0"/>
                <w:color w:val="203338"/>
                <w:sz w:val="16"/>
              </w:rPr>
              <w:t>Policy baseline; measure resolution coverage and safety separately.</w:t>
            </w:r>
          </w:p>
        </w:tc>
      </w:tr>
    </w:tbl>
    <w:p>
      <w:pPr>
        <w:pStyle w:val="Heading1"/>
      </w:pPr>
      <w:r>
        <w:t>Metrics in plain language</w:t>
      </w:r>
    </w:p>
    <w:p>
      <w:pPr>
        <w:pStyle w:val="Heading2"/>
      </w:pPr>
      <w:r>
        <w:t>False-Merge Rate (FMR)</w:t>
      </w:r>
    </w:p>
    <w:p>
      <w:r>
        <w:t>Among genuinely conflicting cases, the fraction incorrectly ended in Agree, whether direct or after Verify. Report this separately because an unsafe merge can be costly.</w:t>
      </w:r>
    </w:p>
    <w:p>
      <w:pPr>
        <w:pStyle w:val="Heading2"/>
      </w:pPr>
      <w:r>
        <w:t>False-Conflict Rate (FCR)</w:t>
      </w:r>
    </w:p>
    <w:p>
      <w:r>
        <w:t>Among genuine Paraphrase + Compatible cases, the fraction not safely resolved. The specification includes unnecessary abstentions here.</w:t>
      </w:r>
    </w:p>
    <w:p>
      <w:pPr>
        <w:pStyle w:val="Heading2"/>
      </w:pPr>
      <w:r>
        <w:t>Unnecessary-abstention rate</w:t>
      </w:r>
    </w:p>
    <w:p>
      <w:r>
        <w:t>The subset of FCR cases that reached Verify and then abstained despite resolvable ground truth. It overlaps FCR intentionally; these metrics are not additive.</w:t>
      </w:r>
    </w:p>
    <w:p>
      <w:pPr>
        <w:pStyle w:val="Heading2"/>
      </w:pPr>
      <w:r>
        <w:t>Calibration and coverage</w:t>
      </w:r>
    </w:p>
    <w:p>
      <w:r>
        <w:t>For probabilistic methods, check whether confidence matches observed correctness, and plot accuracy as the system abstains more or less.</w:t>
      </w:r>
    </w:p>
    <w:p>
      <w:pPr>
        <w:pStyle w:val="Heading2"/>
      </w:pPr>
      <w:r>
        <w:t>Distributed behavior</w:t>
      </w:r>
    </w:p>
    <w:p>
      <w:r>
        <w:t>Measure whether replicas converge to the defined projection, how long it takes, divergence during faults, message/byte costs, duplicate handling and recovery.</w:t>
      </w:r>
    </w:p>
    <w:p>
      <w:r>
        <w:br w:type="page"/>
      </w:r>
    </w:p>
    <w:p>
      <w:pPr>
        <w:pStyle w:val="Title"/>
      </w:pPr>
      <w:r>
        <w:t>Literature: useful comparisons, carefully bounded</w:t>
      </w:r>
    </w:p>
    <w:p>
      <w:r>
        <w:t>These are partial/qualified comparisons from the project’s saved source audit, not a final systematic review. The aim is to show examiners that nearby work is being taken seriously, while avoiding a claim that the field has no prior work.</w:t>
      </w:r>
    </w:p>
    <w:p>
      <w:pPr>
        <w:pStyle w:val="ListBullet"/>
      </w:pPr>
      <w:hyperlink r:id="rId15">
        <w:r>
          <w:rPr>
            <w:color w:val="2F7775"/>
            <w:u w:val="single"/>
          </w:rPr>
          <w:t>MELD — A Protocol for Merging Knowledge Across Distributed Agentic Memories</w:t>
        </w:r>
      </w:hyperlink>
      <w:r>
        <w:t xml:space="preserve"> — Closest pair-taxonomy overlap; 104 balanced pairs deliberately use distinct claim keys; status convergence is not semantic-view convergence.</w:t>
      </w:r>
    </w:p>
    <w:p>
      <w:pPr>
        <w:pStyle w:val="ListBullet"/>
      </w:pPr>
      <w:hyperlink r:id="rId16">
        <w:r>
          <w:rPr>
            <w:color w:val="2F7775"/>
            <w:u w:val="single"/>
          </w:rPr>
          <w:t>StateFuse — Deterministic Conflict-Preserving Memory for Multi-Agent Systems</w:t>
        </w:r>
      </w:hyperlink>
      <w:r>
        <w:t xml:space="preserve"> — Conflict objects, provenance, immutable history, deterministic projection and abstention overlap; reviewed sections do not establish identical task.</w:t>
      </w:r>
    </w:p>
    <w:p>
      <w:pPr>
        <w:pStyle w:val="ListBullet"/>
      </w:pPr>
      <w:hyperlink r:id="rId17">
        <w:r>
          <w:rPr>
            <w:color w:val="2F7775"/>
            <w:u w:val="single"/>
          </w:rPr>
          <w:t>TOKI — A Bitemporal Operator Algebra for Contradiction Resolution in LLM-Agent Persistent Memory</w:t>
        </w:r>
      </w:hyperlink>
      <w:r>
        <w:t xml:space="preserve"> — Temporal records, provenance, typed operators, evidence/confirmation policies; section-level evidence in project notes.</w:t>
      </w:r>
    </w:p>
    <w:p>
      <w:pPr>
        <w:pStyle w:val="ListBullet"/>
      </w:pPr>
      <w:hyperlink r:id="rId18">
        <w:r>
          <w:rPr>
            <w:color w:val="2F7775"/>
            <w:u w:val="single"/>
          </w:rPr>
          <w:t>SubtleMemory — A Benchmark for Fine-Grained Relational Memory Discrimination</w:t>
        </w:r>
      </w:hyperlink>
      <w:r>
        <w:t xml:space="preserve"> — 1,522 downstream QA instances over 10 long histories; relational memory task, not isolated assertion-pair classification.</w:t>
      </w:r>
    </w:p>
    <w:p>
      <w:pPr>
        <w:pStyle w:val="ListBullet"/>
      </w:pPr>
      <w:hyperlink r:id="rId19">
        <w:r>
          <w:rPr>
            <w:color w:val="2F7775"/>
            <w:u w:val="single"/>
          </w:rPr>
          <w:t>S-Bus — Automatic Read-Set Reconstruction for Multi-Agent LLM State Coordination</w:t>
        </w:r>
      </w:hyperlink>
      <w:r>
        <w:t xml:space="preserve"> — Structural concurrency control; 45/45 OCC rejections in a specified experiment; not semantic classification.</w:t>
      </w:r>
    </w:p>
    <w:p>
      <w:pPr>
        <w:pStyle w:val="ListBullet"/>
      </w:pPr>
      <w:hyperlink r:id="rId20">
        <w:r>
          <w:rPr>
            <w:color w:val="2F7775"/>
            <w:u w:val="single"/>
          </w:rPr>
          <w:t>Semantic Consensus Framework (SCF)</w:t>
        </w:r>
      </w:hyperlink>
      <w:r>
        <w:t xml:space="preserve"> — Reported 27.9% precision, 65.2% recall, F1 39.0 for its workflow-intent conflict task; not same-key assertion pairs.</w:t>
      </w:r>
    </w:p>
    <w:p>
      <w:pPr>
        <w:pStyle w:val="ListBullet"/>
      </w:pPr>
      <w:hyperlink r:id="rId21">
        <w:r>
          <w:rPr>
            <w:color w:val="2F7775"/>
            <w:u w:val="single"/>
          </w:rPr>
          <w:t>CodeCRDT — Observation-Driven Coordination for Multi-Agent LLM Code Generation</w:t>
        </w:r>
      </w:hyperlink>
      <w:r>
        <w:t xml:space="preserve"> — 5–10% semantic-conflict estimate from manual inspection of 60/600 runs; preliminary, not general rate.</w:t>
      </w:r>
    </w:p>
    <w:p>
      <w:pPr>
        <w:pStyle w:val="ListBullet"/>
      </w:pPr>
      <w:hyperlink r:id="rId22">
        <w:r>
          <w:rPr>
            <w:color w:val="2F7775"/>
            <w:u w:val="single"/>
          </w:rPr>
          <w:t>Governed Shared Memory for Multi-Agent LLM Systems</w:t>
        </w:r>
      </w:hyperlink>
      <w:r>
        <w:t xml:space="preserve"> — Same-subject/property supersession study; 90/90 admitted conflicts vs 98/200 overall due to admission effects, as recorded in project notes.</w:t>
      </w:r>
    </w:p>
    <w:p>
      <w:pPr>
        <w:pStyle w:val="ListBullet"/>
      </w:pPr>
      <w:hyperlink r:id="rId23">
        <w:r>
          <w:rPr>
            <w:color w:val="2F7775"/>
            <w:u w:val="single"/>
          </w:rPr>
          <w:t>Reliable Post-Retrieval Assembly for Agent Memory</w:t>
        </w:r>
      </w:hyperlink>
      <w:r>
        <w:t xml:space="preserve"> — +10.8/+21 points are whole-pipeline result; executor-only comparison +2/0 and LongMemEval 26/45 vs 29/45, p=.45.</w:t>
      </w:r>
    </w:p>
    <w:p>
      <w:pPr>
        <w:pStyle w:val="ListBullet"/>
      </w:pPr>
      <w:hyperlink r:id="rId24">
        <w:r>
          <w:rPr>
            <w:color w:val="2F7775"/>
            <w:u w:val="single"/>
          </w:rPr>
          <w:t>ECon — On the Detection and Resolution of Evidence Conflicts</w:t>
        </w:r>
      </w:hyperlink>
      <w:r>
        <w:t xml:space="preserve"> — Question-conditioned evidence-pair conflict task; adjacent NLI baseline, not replicated keyed state.</w:t>
      </w:r>
    </w:p>
    <w:p>
      <w:pPr>
        <w:pStyle w:val="ListBullet"/>
      </w:pPr>
      <w:hyperlink r:id="rId25">
        <w:r>
          <w:rPr>
            <w:color w:val="2F7775"/>
            <w:u w:val="single"/>
          </w:rPr>
          <w:t>RefNLI</w:t>
        </w:r>
      </w:hyperlink>
      <w:r>
        <w:t xml:space="preserve"> — Reference ambiguity and context mismatch complicate contradiction labels.</w:t>
      </w:r>
    </w:p>
    <w:p>
      <w:pPr>
        <w:pStyle w:val="ListBullet"/>
      </w:pPr>
      <w:hyperlink r:id="rId26">
        <w:r>
          <w:rPr>
            <w:color w:val="2F7775"/>
            <w:u w:val="single"/>
          </w:rPr>
          <w:t>Selective Prediction for NLP</w:t>
        </w:r>
      </w:hyperlink>
      <w:r>
        <w:t xml:space="preserve"> — Selective prediction/abstention predates AVA; not direct distributed same-key experiment.</w:t>
      </w:r>
    </w:p>
    <w:p>
      <w:r>
        <w:br w:type="page"/>
      </w:r>
    </w:p>
    <w:p>
      <w:pPr>
        <w:pStyle w:val="Heading1"/>
      </w:pPr>
      <w:r>
        <w:t>Numbers to state only with their scope</w:t>
      </w:r>
    </w:p>
    <w:p>
      <w:pPr>
        <w:pStyle w:val="ListBullet"/>
      </w:pPr>
      <w:r>
        <w:t>MELD: the 104-pair balanced diagnostic set intentionally uses distinct claim keys; its reported pair-classification results therefore do not directly establish performance on a strict same-key-only dataset.</w:t>
      </w:r>
    </w:p>
    <w:p>
      <w:pPr>
        <w:pStyle w:val="ListBullet"/>
      </w:pPr>
      <w:r>
        <w:t>CodeCRDT: the 5–10% semantic-conflict estimate is based on manual inspection of 60 of 600 runs, a preliminary sample rather than a validated general rate.</w:t>
      </w:r>
    </w:p>
    <w:p>
      <w:pPr>
        <w:pStyle w:val="ListBullet"/>
      </w:pPr>
      <w:r>
        <w:t>SCF: reported Table 2 values are 27.9% precision, 65.2% recall and F1 39.0 for its workflow-intent conflict task; 65.2% is not accuracy.</w:t>
      </w:r>
    </w:p>
    <w:p>
      <w:pPr>
        <w:pStyle w:val="ListBullet"/>
      </w:pPr>
      <w:r>
        <w:t>Deterministic post-retrieval assembly: +10.8 percentage points on average / +21 at context length 262K compares whole pipelines. The executor-only comparison is +2 average / 0 at 262K; on LongMemEval, 26/45 vs 29/45 with p=.45.</w:t>
      </w:r>
    </w:p>
    <w:p>
      <w:pPr>
        <w:pStyle w:val="ListBullet"/>
      </w:pPr>
      <w:r>
        <w:t>SubtleMemory v3: 1,522 downstream QA instances across 10 persona-level histories and 1,090 relation-controlled variant sets. It tests long-history relational memory discrimination, not isolated assertion-pair classification.</w:t>
      </w:r>
    </w:p>
    <w:p>
      <w:r>
        <w:br w:type="page"/>
      </w:r>
    </w:p>
    <w:p>
      <w:pPr>
        <w:pStyle w:val="Title"/>
      </w:pPr>
      <w:r>
        <w:t>Open decisions and review-ready answers</w:t>
      </w:r>
    </w:p>
    <w:p>
      <w:pPr>
        <w:pStyle w:val="Heading2"/>
      </w:pPr>
      <w:r>
        <w:t>What exactly is the key?</w:t>
      </w:r>
    </w:p>
    <w:p>
      <w:r>
        <w:t>Define cardinality, type, scope, role and temporal granularity. A compatible pair must either share one key by design or be clearly identified as a different-key/control case.</w:t>
      </w:r>
    </w:p>
    <w:p>
      <w:pPr>
        <w:pStyle w:val="Heading2"/>
      </w:pPr>
      <w:r>
        <w:t>Are class labels independent of policy?</w:t>
      </w:r>
    </w:p>
    <w:p>
      <w:r>
        <w:t>Yes in the proposed design: relation class is a gold annotation; Agree/Verify/Abstain is an action. Specify how each arm maps predictions/evidence to actions.</w:t>
      </w:r>
    </w:p>
    <w:p>
      <w:pPr>
        <w:pStyle w:val="Heading2"/>
      </w:pPr>
      <w:r>
        <w:t>What does Verify inspect?</w:t>
      </w:r>
    </w:p>
    <w:p>
      <w:r>
        <w:t>Specify which deterministic evidence is available and what threshold/rule is sufficient. For convergence experiments, both replicas with identical canonical evidence must produce identical Verify outcomes.</w:t>
      </w:r>
    </w:p>
    <w:p>
      <w:pPr>
        <w:pStyle w:val="Heading2"/>
      </w:pPr>
      <w:r>
        <w:t>What is the exact thesis novelty?</w:t>
      </w:r>
    </w:p>
    <w:p>
      <w:r>
        <w:t>Not established. The safest candidate distinction is a narrowly scoped empirical question about evidence-based Verify after same-key classification under asynchronous delivery, but StateFuse/TOKI/MELD and other work require full comparison.</w:t>
      </w:r>
    </w:p>
    <w:p>
      <w:pPr>
        <w:pStyle w:val="Heading2"/>
      </w:pPr>
      <w:r>
        <w:t>What are WH-1, WH-2, WH-3?</w:t>
      </w:r>
    </w:p>
    <w:p>
      <w:r>
        <w:t>The supplied finalized specification names but does not define them. Do not present any agent-written paraphrase as the owner’s exact hypotheses.</w:t>
      </w:r>
    </w:p>
    <w:p>
      <w:pPr>
        <w:pStyle w:val="Heading2"/>
      </w:pPr>
      <w:r>
        <w:t>How large is the work?</w:t>
      </w:r>
    </w:p>
    <w:p>
      <w:r>
        <w:t>Seven arms + a human-labeled dataset + calibration + a simulator + scaling is ambitious. Keep the core benchmark/safety results first; treat simulator depth and scaling as staged/stretch scope subject to requirements and feasibility.</w:t>
      </w:r>
    </w:p>
    <w:p>
      <w:pPr>
        <w:pStyle w:val="Heading2"/>
      </w:pPr>
      <w:r>
        <w:t>What has been implemented?</w:t>
      </w:r>
    </w:p>
    <w:p>
      <w:r>
        <w:t>Nothing in the thesis protocol is authorized or claimed implemented. The current work is planning and literature/design reconciliation.</w:t>
      </w:r>
    </w:p>
    <w:p>
      <w:r>
        <w:br w:type="page"/>
      </w:r>
    </w:p>
    <w:p>
      <w:pPr>
        <w:pStyle w:val="Heading1"/>
      </w:pPr>
      <w:r>
        <w:t>Staged plan (no dates invented)</w:t>
      </w:r>
    </w:p>
    <w:p>
      <w:pPr>
        <w:pStyle w:val="ListNumber"/>
      </w:pPr>
      <w:r>
        <w:t>Stage A — Literature gate: source-wide/appendix verification, NLI/contradiction review, active attempt to disprove the candidate gap; record exact versions and review scope.</w:t>
      </w:r>
    </w:p>
    <w:p>
      <w:pPr>
        <w:pStyle w:val="ListNumber"/>
      </w:pPr>
      <w:r>
        <w:t>Stage B — Design preregistration: key schema/cardinality; label guide; evidence visibility; classifier/policy separation; split/leakage controls; sample-size and resource plan.</w:t>
      </w:r>
    </w:p>
    <w:p>
      <w:pPr>
        <w:pStyle w:val="ListNumber"/>
      </w:pPr>
      <w:r>
        <w:t>Stage C — Core benchmark, only if the gate and approval conditions are met: controlled dataset and human annotation, deterministic baseline, selected semantic methods, safety/calibration/cost reporting.</w:t>
      </w:r>
    </w:p>
    <w:p>
      <w:pPr>
        <w:pStyle w:val="ListNumber"/>
      </w:pPr>
      <w:r>
        <w:t>Stage D — Minimal distributed simulator: first test event canonicalization and deterministic projection without semantic methods; then integrate only conditions compatible with the convergence claim.</w:t>
      </w:r>
    </w:p>
    <w:p>
      <w:pPr>
        <w:pStyle w:val="ListNumber"/>
      </w:pPr>
      <w:r>
        <w:t>Stage E — Scope decision and writing: expand, narrow or reframe based on measured results and college/supervisor requirements; only proceed to implementation or formal thesis drafting after the project’s gate is satisfied.</w:t>
      </w:r>
    </w:p>
    <w:p>
      <w:r>
        <w:br w:type="page"/>
      </w:r>
    </w:p>
    <w:p>
      <w:pPr>
        <w:pStyle w:val="Title"/>
      </w:pPr>
      <w:r>
        <w:t>Sources and status note</w:t>
      </w:r>
    </w:p>
    <w:p>
      <w:r>
        <w:t>Primary source for the locked project choices: “AVA Evaluation — Finalized Thesis Specification” supplied by Selvin. Source links above point to public versions where available; literature summaries and metrics are quoted only with the scope limitations preserved in the saved project audit. Please verify versions/citations against full texts before formal submission.</w:t>
      </w:r>
    </w:p>
    <w:p>
      <w:r>
        <w:t>This review pack is not an official college format, an approved thesis, a completed literature review, an implementation plan authorization, or a report of experimental results. It is an explanatory proposal aid made from the supplied specification and qualified evidence in conversation history.</w:t>
      </w:r>
    </w:p>
    <w:p>
      <w:pPr>
        <w:pStyle w:val="Heading1"/>
      </w:pPr>
      <w:r>
        <w:t>Short closing pitch</w:t>
      </w:r>
    </w:p>
    <w:p>
      <w:r>
        <w:t>“AVA asks a practical question: when agents disagree about the same state key, what can be reconciled safely, what needs evidence, and what should remain unresolved? I will compare methods with explicit safety and usefulness measures, without assuming that more intelligent models perform better. The current contribution is a testable proposal; the novelty and convergence claims stay open until their gates are met.”</w:t>
      </w:r>
    </w:p>
    <w:p>
      <w:r>
        <w:br w:type="page"/>
      </w:r>
    </w:p>
    <w:p>
      <w:pPr>
        <w:pStyle w:val="Heading1"/>
      </w:pPr>
      <w:r>
        <w:t>Review focus: why shared state matters in an AI-agent team</w:t>
      </w:r>
    </w:p>
    <w:p>
      <w:r>
        <w:t xml:space="preserve">This is a hypothetical teaching scenario using the six labels exactly as supplied: </w:t>
      </w:r>
      <w:r>
        <w:rPr>
          <w:b/>
        </w:rPr>
        <w:t>Grok bot, GPT dots, Claude duet, Harkpro, Wajo Fo, Wabi</w:t>
      </w:r>
      <w:r>
        <w:t>. These are labels only. No real capability, product identity, integration, role, or performance is being asserted.</w:t>
      </w:r>
    </w:p>
    <w:p>
      <w:r>
        <w:t xml:space="preserve">Assume the six independently operating agents each emit a candidate value for the same explicitly declared key: </w:t>
      </w:r>
      <w:r>
        <w:rPr>
          <w:b/>
        </w:rPr>
        <w:t>service.demo-api.primary_db</w:t>
      </w:r>
      <w:r>
        <w:t>. The key has type “database enum,” exactly-one cardinality, scope “demo-api,” and a shared current-release interval. Three hypothetical writes say PostgreSQL and three say DynamoDB. The example is constructed only to make the method easy to explain; it is not a real system trace or an experimental result.</w:t>
      </w:r>
    </w:p>
    <w:p>
      <w:pPr>
        <w:jc w:val="center"/>
      </w:pPr>
      <w:r>
        <w:drawing>
          <wp:inline xmlns:a="http://schemas.openxmlformats.org/drawingml/2006/main" xmlns:pic="http://schemas.openxmlformats.org/drawingml/2006/picture">
            <wp:extent cx="5989320" cy="3144393"/>
            <wp:docPr id="7" name="Picture 7"/>
            <wp:cNvGraphicFramePr>
              <a:graphicFrameLocks noChangeAspect="1"/>
            </wp:cNvGraphicFramePr>
            <a:graphic>
              <a:graphicData uri="http://schemas.openxmlformats.org/drawingml/2006/picture">
                <pic:pic>
                  <pic:nvPicPr>
                    <pic:cNvPr id="0" name="hypothetical_agent_team.png"/>
                    <pic:cNvPicPr/>
                  </pic:nvPicPr>
                  <pic:blipFill>
                    <a:blip r:embed="rId27"/>
                    <a:stretch>
                      <a:fillRect/>
                    </a:stretch>
                  </pic:blipFill>
                  <pic:spPr>
                    <a:xfrm>
                      <a:off x="0" y="0"/>
                      <a:ext cx="5989320" cy="3144393"/>
                    </a:xfrm>
                    <a:prstGeom prst="rect"/>
                  </pic:spPr>
                </pic:pic>
              </a:graphicData>
            </a:graphic>
          </wp:inline>
        </w:drawing>
      </w:r>
    </w:p>
    <w:p>
      <w:pPr>
        <w:jc w:val="center"/>
      </w:pPr>
      <w:r>
        <w:rPr>
          <w:i/>
          <w:color w:val="64777A"/>
        </w:rPr>
        <w:t>Figure: provenance → relation → policy action → resulting state. Teaching illustration only; not evidence or a model of actual named agents.</w:t>
      </w:r>
    </w:p>
    <w:p>
      <w:pPr>
        <w:pStyle w:val="Heading2"/>
      </w:pPr>
      <w:r>
        <w:t>How to explain the four separate questions</w:t>
      </w:r>
    </w:p>
    <w:p>
      <w:pPr>
        <w:pStyle w:val="ListBullet"/>
      </w:pPr>
      <w:r>
        <w:rPr>
          <w:b/>
        </w:rPr>
        <w:t xml:space="preserve">1. Provenance — who supplied which claim? </w:t>
      </w:r>
      <w:r>
        <w:t>Keep each assertion attached to its hypothetical label and event metadata. A label alone is not a reliability score.</w:t>
      </w:r>
    </w:p>
    <w:p>
      <w:pPr>
        <w:pStyle w:val="ListBullet"/>
      </w:pPr>
      <w:r>
        <w:rPr>
          <w:b/>
        </w:rPr>
        <w:t xml:space="preserve">2. Relation — can the claims coexist? </w:t>
      </w:r>
      <w:r>
        <w:t>With the key, role, interval and cardinality held fixed, equal normalized values can be treated as equivalent candidates; PostgreSQL versus DynamoDB is a hard-conflict candidate. If those scope fields differ, do not call it a same-key conflict.</w:t>
      </w:r>
    </w:p>
    <w:p>
      <w:pPr>
        <w:pStyle w:val="ListBullet"/>
      </w:pPr>
      <w:r>
        <w:rPr>
          <w:b/>
        </w:rPr>
        <w:t xml:space="preserve">3. Policy action — what should the system do? </w:t>
      </w:r>
      <w:r>
        <w:t>The example chooses Verify as a proposed action because claims disagree. Verify is not a result; its evidence source and decision rule must be specified before any conclusion.</w:t>
      </w:r>
    </w:p>
    <w:p>
      <w:pPr>
        <w:pStyle w:val="ListBullet"/>
      </w:pPr>
      <w:r>
        <w:rPr>
          <w:b/>
        </w:rPr>
        <w:t xml:space="preserve">4. Result — what state is published? </w:t>
      </w:r>
      <w:r>
        <w:t>No shared authoritative evidence is supplied in the example, so the safe demonstration outcome is UNRESOLVED with both candidate values and provenance retained. It does not guess which database is correct.</w:t>
      </w:r>
    </w:p>
    <w:p>
      <w:r>
        <w:br w:type="page"/>
      </w:r>
    </w:p>
    <w:p>
      <w:pPr>
        <w:pStyle w:val="Heading1"/>
      </w:pPr>
      <w:r>
        <w:t>Extra review points to make the proposal stronger</w:t>
      </w:r>
    </w:p>
    <w:p>
      <w:pPr/>
      <w:r>
        <w:t>1. State the key contract first. Name the key type, value domain, scope, temporal interval and cardinality. Make every pair either genuinely same-key or explicitly a control. This prevents a role mismatch from being mislabeled as a conflict.</w:t>
      </w:r>
    </w:p>
    <w:p>
      <w:pPr/>
      <w:r>
        <w:t>2. Separate four layers. Keep agent/event provenance, gold relation label, policy action (Agree/Verify/Abstain), and final state (resolved value or UNRESOLVED) as separate fields. This makes errors diagnosable.</w:t>
      </w:r>
    </w:p>
    <w:p>
      <w:pPr/>
      <w:r>
        <w:t>3. Give Verify a bounded job. Name the permitted evidence, freshness rule, conflict tie behavior and deterministic decision procedure. If evidence is missing or contradictory, preserve UNRESOLVED rather than inventing certainty.</w:t>
      </w:r>
    </w:p>
    <w:p>
      <w:pPr/>
      <w:r>
        <w:t>4. Make comparisons fair. Use the same pair, context, evidence, prompt budget and evaluation split across arms where applicable. Report classifier quality apart from policy outcomes; compare the deterministic and preserve/abstain baselines directly.</w:t>
      </w:r>
    </w:p>
    <w:p>
      <w:pPr/>
      <w:r>
        <w:t>5. Measure safety and usefulness separately. Report false merges on real conflicts, false conflicts on resolvable pairs, unnecessary abstentions, class-wise scores, calibration, latency and cost. Avoid a single score that hides safety trade-offs.</w:t>
      </w:r>
    </w:p>
    <w:p>
      <w:pPr/>
      <w:r>
        <w:t>6. Keep the scope feasible. Seven methods plus annotation, calibration and distributed simulation is ambitious for an M.E. First decide the research gate and a small reproducible core; make simulator scale-up conditional, not assumed.</w:t>
      </w:r>
    </w:p>
    <w:p>
      <w:pPr>
        <w:pStyle w:val="Heading1"/>
      </w:pPr>
      <w:r>
        <w:t>Questions a reviewer may ask — concise answers</w:t>
      </w:r>
    </w:p>
    <w:p>
      <w:r>
        <w:rPr>
          <w:b/>
        </w:rPr>
        <w:t>Why use a team of agents rather than one assistant?</w:t>
      </w:r>
    </w:p>
    <w:p>
      <w:pPr>
        <w:ind w:left="288"/>
      </w:pPr>
      <w:r>
        <w:t>The team is an illustrative setting for independently produced updates to shared state. The research question is about the state decision, not a claim that any named agent is connected or has a particular role.</w:t>
      </w:r>
    </w:p>
    <w:p>
      <w:r>
        <w:rPr>
          <w:b/>
        </w:rPr>
        <w:t>Why not always take the newest write?</w:t>
      </w:r>
    </w:p>
    <w:p>
      <w:pPr>
        <w:ind w:left="288"/>
      </w:pPr>
      <w:r>
        <w:t>Arrival time may reflect network order rather than truth or validity. Newest-wins is a useful baseline to test, not a default truth rule.</w:t>
      </w:r>
    </w:p>
    <w:p>
      <w:r>
        <w:rPr>
          <w:b/>
        </w:rPr>
        <w:t>Does Verify guarantee correctness?</w:t>
      </w:r>
    </w:p>
    <w:p>
      <w:pPr>
        <w:ind w:left="288"/>
      </w:pPr>
      <w:r>
        <w:t>No. It can only use specified evidence and rules. Without adequate evidence, it should abstain or leave the key unresolved.</w:t>
      </w:r>
    </w:p>
    <w:p>
      <w:r>
        <w:rPr>
          <w:b/>
        </w:rPr>
        <w:t>Does this prove all replicas converge?</w:t>
      </w:r>
    </w:p>
    <w:p>
      <w:pPr>
        <w:ind w:left="288"/>
      </w:pPr>
      <w:r>
        <w:t>No. Convergence is a target condition. The event set, canonicalization, resolver determinism and exact meaning of projected state still need definition and verification.</w:t>
      </w:r>
    </w:p>
    <w:p>
      <w:r>
        <w:rPr>
          <w:b/>
        </w:rPr>
        <w:t>Is the novelty established?</w:t>
      </w:r>
    </w:p>
    <w:p>
      <w:pPr>
        <w:ind w:left="288"/>
      </w:pPr>
      <w:r>
        <w:t>No. Pass 3 remains incomplete and prior work overlaps with several parts of the proposal. The candidate gap must survive source-wide review and active disconfirmation.</w:t>
      </w:r>
    </w:p>
    <w:p>
      <w:pPr>
        <w:keepNext/>
      </w:pPr>
      <w:r>
        <w:rPr>
          <w:b/>
        </w:rPr>
        <w:t>What do the six agent names mean?</w:t>
      </w:r>
    </w:p>
    <w:p>
      <w:pPr>
        <w:keepLines/>
        <w:ind w:left="288"/>
      </w:pPr>
      <w:r>
        <w:t>They are user-supplied hypothetical labels for the teaching scenario only. The example assigns no actual identity, capability, integration, role or performance to them.</w:t>
      </w:r>
    </w:p>
    <w:p>
      <w:r>
        <w:br w:type="page"/>
      </w:r>
    </w:p>
    <w:p>
      <w:pPr>
        <w:pStyle w:val="Heading1"/>
      </w:pPr>
      <w:r>
        <w:t>Monday 26 October review: presentation plan</w:t>
      </w:r>
    </w:p>
    <w:p>
      <w:r>
        <w:t>Use this as a practical rehearsal checklist for Monday. The review start time and official college module labels were not supplied, so this pack keeps its eight module headings provisional and does not invent a schedule.</w:t>
      </w:r>
    </w:p>
    <w:p>
      <w:pPr>
        <w:pStyle w:val="Heading2"/>
      </w:pPr>
      <w:r>
        <w:t>Opening talk track (about 90 seconds)</w:t>
      </w:r>
    </w:p>
    <w:p>
      <w:pPr>
        <w:ind w:left="259" w:right="259"/>
      </w:pPr>
      <w:r>
        <w:t>“My proposal studies a narrow shared-state problem in multi-agent AI: several agents may update one key, but receiving all events does not guarantee that the published meaning is safe. I define the key and scope first, classify the assertion relationship, then compare Agree, Verify and Abstain policies. For example, six hypothetical agent labels can write different values for one explicitly defined database key; if evidence does not settle the disagreement, the result stays UNRESOLVED with provenance preserved. I will measure unsafe merges, missed safe resolutions, unnecessary abstention, calibration and cost, and only then consider a minimal asynchronous simulator. Existing work overlaps with important parts of this proposal, so novelty is not established; the Pass 3 literature gate is still open. Today I’m seeking feedback on the key schema, label definitions and feasible scope—not presenting results or a completed implementation.”</w:t>
      </w:r>
    </w:p>
    <w:p>
      <w:pPr>
        <w:pStyle w:val="Heading2"/>
      </w:pPr>
      <w:r>
        <w:t>Before you present</w:t>
      </w:r>
    </w:p>
    <w:p>
      <w:pPr>
        <w:pStyle w:val="ListBullet"/>
      </w:pPr>
      <w:r>
        <w:t>Open the PDF slide deck once; confirm the slide order and that fonts/diagrams display on the presentation device.</w:t>
      </w:r>
    </w:p>
    <w:p>
      <w:pPr>
        <w:pStyle w:val="ListBullet"/>
      </w:pPr>
      <w:r>
        <w:t>Keep the editable PPTX and PDF together; bring the report PDF as a reference copy and the editable report only if asked.</w:t>
      </w:r>
    </w:p>
    <w:p>
      <w:pPr>
        <w:pStyle w:val="ListBullet"/>
      </w:pPr>
      <w:r>
        <w:t>Rehearse the 90-second opener and the one-key example; point to provenance, relation, policy action, then result in that order.</w:t>
      </w:r>
    </w:p>
    <w:p>
      <w:pPr>
        <w:pStyle w:val="ListBullet"/>
      </w:pPr>
      <w:r>
        <w:t>Say “hypothetical example” before using the six agent labels. Do not describe them as connected products or assign them real functions.</w:t>
      </w:r>
    </w:p>
    <w:p>
      <w:pPr>
        <w:pStyle w:val="ListBullet"/>
      </w:pPr>
      <w:r>
        <w:t>State the gate honestly: literature review incomplete, novelty unresolved, convergence unproved, no protocol implementation or formal thesis drafting.</w:t>
      </w:r>
    </w:p>
    <w:p>
      <w:pPr>
        <w:pStyle w:val="ListBullet"/>
      </w:pPr>
      <w:r>
        <w:t>Ask which college module headings/template should replace the provisional eight-part structure, and what the review expects next.</w:t>
      </w:r>
    </w:p>
    <w:p>
      <w:pPr>
        <w:pStyle w:val="ListBullet"/>
      </w:pPr>
      <w:r>
        <w:t>Write down the supervisor/reviewer’s requested changes and any date they specify; do not assume a milestone or approval from discussion alone.</w:t>
      </w:r>
    </w:p>
    <w:p>
      <w:pPr>
        <w:pStyle w:val="Heading2"/>
      </w:pPr>
      <w:r>
        <w:t>Three useful feedback questions for the review</w:t>
      </w:r>
    </w:p>
    <w:p>
      <w:pPr>
        <w:pStyle w:val="ListBullet"/>
      </w:pPr>
      <w:r>
        <w:t>Is the same-key contract (key, value type, role, time scope, cardinality) precise enough for the first review?</w:t>
      </w:r>
    </w:p>
    <w:p>
      <w:pPr>
        <w:pStyle w:val="ListBullet"/>
      </w:pPr>
      <w:r>
        <w:t>Should the M.E. prioritize relation classification and safety metrics first, with distributed simulation kept minimal or staged?</w:t>
      </w:r>
    </w:p>
    <w:p>
      <w:pPr>
        <w:pStyle w:val="ListBullet"/>
      </w:pPr>
      <w:r>
        <w:t>What required literature/design evidence must be completed before the project may move beyond the proposal gate?</w:t>
      </w:r>
    </w:p>
    <w:p>
      <w:r>
        <w:rPr>
          <w:i/>
          <w:color w:val="64777A"/>
        </w:rPr>
        <w:t>Monday-ready additions prepared 22 October 2026. The scenario, agent labels and animal references are teaching aids only; they are not source evidence, system observations or implementation claims.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77A"/>
        <w:sz w:val="16"/>
      </w:rPr>
      <w:t xml:space="preserve">AVA Evaluation  |  Review pack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33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B43"/>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775"/>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D978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B4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arxiv.org/html/2608.16357v1" TargetMode="External"/><Relationship Id="rId16" Type="http://schemas.openxmlformats.org/officeDocument/2006/relationships/hyperlink" Target="https://arxiv.org/html/2607.05844v1" TargetMode="External"/><Relationship Id="rId17" Type="http://schemas.openxmlformats.org/officeDocument/2006/relationships/hyperlink" Target="https://arxiv.org/html/2606.06240v1" TargetMode="External"/><Relationship Id="rId18" Type="http://schemas.openxmlformats.org/officeDocument/2006/relationships/hyperlink" Target="https://arxiv.org/html/2606.05761v3" TargetMode="External"/><Relationship Id="rId19" Type="http://schemas.openxmlformats.org/officeDocument/2006/relationships/hyperlink" Target="https://arxiv.org/html/2605.17076v2" TargetMode="External"/><Relationship Id="rId20" Type="http://schemas.openxmlformats.org/officeDocument/2006/relationships/hyperlink" Target="https://arxiv.org/html/2604.16339v1" TargetMode="External"/><Relationship Id="rId21" Type="http://schemas.openxmlformats.org/officeDocument/2006/relationships/hyperlink" Target="https://arxiv.org/html/2510.18893v1" TargetMode="External"/><Relationship Id="rId22" Type="http://schemas.openxmlformats.org/officeDocument/2006/relationships/hyperlink" Target="https://arxiv.org/html/2606.24535v1" TargetMode="External"/><Relationship Id="rId23" Type="http://schemas.openxmlformats.org/officeDocument/2006/relationships/hyperlink" Target="https://arxiv.org/html/2606.01435v2" TargetMode="External"/><Relationship Id="rId24" Type="http://schemas.openxmlformats.org/officeDocument/2006/relationships/hyperlink" Target="https://arxiv.org/html/2410.04068v1" TargetMode="External"/><Relationship Id="rId25" Type="http://schemas.openxmlformats.org/officeDocument/2006/relationships/hyperlink" Target="https://arxiv.org/html/2502.05793v1" TargetMode="External"/><Relationship Id="rId26" Type="http://schemas.openxmlformats.org/officeDocument/2006/relationships/hyperlink" Target="https://aclanthology.org/2022.repl4nlp-1.23/" TargetMode="External"/><Relationship Id="rId2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