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
      <w:pPr>
        <w:spacing w:after="80"/>
        <w:jc w:val="center"/>
      </w:pPr>
      <w:r>
        <w:rPr>
          <w:rFonts w:ascii="Arial" w:cs="Arial" w:eastAsia="Arial" w:hAnsi="Arial"/>
          <w:b/>
          <w:bCs/>
          <w:color w:val="1B3A5C"/>
          <w:sz w:val="56"/>
          <w:szCs w:val="56"/>
        </w:rPr>
        <w:t xml:space="preserve">RECON-AI</w:t>
      </w:r>
    </w:p>
    <w:p>
      <w:pPr>
        <w:spacing w:after="200"/>
        <w:jc w:val="center"/>
      </w:pPr>
      <w:r>
        <w:rPr>
          <w:rFonts w:ascii="Arial" w:cs="Arial" w:eastAsia="Arial" w:hAnsi="Arial"/>
          <w:color w:val="2C5F8A"/>
          <w:sz w:val="36"/>
          <w:szCs w:val="36"/>
        </w:rPr>
        <w:t xml:space="preserve">Process Flow Specification</w:t>
      </w:r>
    </w:p>
    <w:p>
      <w:pPr>
        <w:spacing w:after="40"/>
        <w:jc w:val="center"/>
      </w:pPr>
      <w:r>
        <w:rPr>
          <w:rFonts w:ascii="Arial" w:cs="Arial" w:eastAsia="Arial" w:hAnsi="Arial"/>
          <w:color w:val="555555"/>
          <w:sz w:val="22"/>
          <w:szCs w:val="22"/>
        </w:rPr>
        <w:t xml:space="preserve">Event → NAV Dashboard → Trial Balance (Ledger Drill-Down) → Position Drill-Down</w:t>
      </w:r>
    </w:p>
    <w:p/>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bCs/>
                <w:sz w:val="18"/>
                <w:szCs w:val="18"/>
              </w:rPr>
              <w:t xml:space="preserve">Version:</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1.0</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bCs/>
                <w:sz w:val="18"/>
                <w:szCs w:val="18"/>
              </w:rPr>
              <w:t xml:space="preserve">Date: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February 2026</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bCs/>
                <w:sz w:val="18"/>
                <w:szCs w:val="18"/>
              </w:rPr>
              <w:t xml:space="preserve">Domain:</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Fund Administration</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bCs/>
                <w:sz w:val="18"/>
                <w:szCs w:val="18"/>
              </w:rPr>
              <w:t xml:space="preserve">Context:</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Production Parallel Phase</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bCs/>
                <w:sz w:val="18"/>
                <w:szCs w:val="18"/>
              </w:rPr>
              <w:t xml:space="preserve">Classification:</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Internal – Confidential</w:t>
            </w:r>
          </w:p>
        </w:tc>
      </w:tr>
    </w:tbl>
    <w:p>
      <w:r>
        <w:br w:type="page"/>
      </w:r>
    </w:p>
    <w:p>
      <w:pPr>
        <w:pStyle w:val="Heading1"/>
      </w:pPr>
      <w:r>
        <w:t xml:space="preserve">1. Overview</w:t>
      </w:r>
    </w:p>
    <w:p>
      <w:pPr>
        <w:pStyle w:val="Heading2"/>
      </w:pPr>
      <w:r>
        <w:t xml:space="preserve">1.1 Purpose</w:t>
      </w:r>
    </w:p>
    <w:p>
      <w:pPr>
        <w:spacing w:after="120" w:before="0"/>
      </w:pPr>
      <w:r>
        <w:rPr>
          <w:rFonts w:ascii="Arial" w:cs="Arial" w:eastAsia="Arial" w:hAnsi="Arial"/>
          <w:sz w:val="22"/>
          <w:szCs w:val="22"/>
        </w:rPr>
        <w:t xml:space="preserve">This specification defines the complete user interaction flow for the RECON-AI Control Center drill-down experience. It covers the four-screen progressive disclosure path that takes a user from the Event-level portfolio view down through NAV comparison, trial balance ledger decomposition, and finally into position-level detail. Each screen is designed to answer a specific question in the analyst's investigation workflow.</w:t>
      </w:r>
    </w:p>
    <w:p>
      <w:pPr>
        <w:pStyle w:val="Heading2"/>
      </w:pPr>
      <w:r>
        <w:t xml:space="preserve">1.2 Navigation Model</w:t>
      </w:r>
    </w:p>
    <w:p>
      <w:pPr>
        <w:spacing w:after="120" w:before="0"/>
      </w:pPr>
      <w:r>
        <w:rPr>
          <w:rFonts w:ascii="Arial" w:cs="Arial" w:eastAsia="Arial" w:hAnsi="Arial"/>
          <w:sz w:val="22"/>
          <w:szCs w:val="22"/>
        </w:rPr>
        <w:t xml:space="preserve">The drill-down follows a strict hierarchical path with breadcrumb navigation. Each level narrows the analytical scope and increases data granularity: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2400"/>
        <w:gridCol w:w="1800"/>
        <w:gridCol w:w="1760"/>
      </w:tblGrid>
      <w:tr>
        <w:tc>
          <w:tcPr>
            <w:tcW w:type="dxa" w:w="12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Level</w:t>
            </w:r>
          </w:p>
        </w:tc>
        <w:tc>
          <w:tcPr>
            <w:tcW w:type="dxa" w:w="22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Screen</w:t>
            </w:r>
          </w:p>
        </w:tc>
        <w:tc>
          <w:tcPr>
            <w:tcW w:type="dxa" w:w="24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Primary Question</w:t>
            </w:r>
          </w:p>
        </w:tc>
        <w:tc>
          <w:tcPr>
            <w:tcW w:type="dxa" w:w="18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Data Grain</w:t>
            </w:r>
          </w:p>
        </w:tc>
        <w:tc>
          <w:tcPr>
            <w:tcW w:type="dxa" w:w="17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Key Entity</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L0</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Event Dashboard</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Which events have breaks?</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Event / Fund</w:t>
            </w:r>
          </w:p>
        </w:tc>
        <w:tc>
          <w:tcPr>
            <w:tcW w:type="dxa" w:w="17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Event, Fund</w:t>
            </w:r>
          </w:p>
        </w:tc>
      </w:tr>
      <w:tr>
        <w:tc>
          <w:tcPr>
            <w:tcW w:type="dxa" w:w="12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L0–L1</w:t>
            </w:r>
          </w:p>
        </w:tc>
        <w:tc>
          <w:tcPr>
            <w:tcW w:type="dxa" w:w="22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NAV Dashboard</w:t>
            </w:r>
          </w:p>
        </w:tc>
        <w:tc>
          <w:tcPr>
            <w:tcW w:type="dxa" w:w="24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Which funds break and where?</w:t>
            </w:r>
          </w:p>
        </w:tc>
        <w:tc>
          <w:tcPr>
            <w:tcW w:type="dxa" w:w="18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Fund / Share Class</w:t>
            </w:r>
          </w:p>
        </w:tc>
        <w:tc>
          <w:tcPr>
            <w:tcW w:type="dxa" w:w="176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NAV, GL Bucket</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L1–L2</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Trial Balance</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Which GL accounts drive the variance?</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GL Account</w:t>
            </w:r>
          </w:p>
        </w:tc>
        <w:tc>
          <w:tcPr>
            <w:tcW w:type="dxa" w:w="17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Ledger, SubLedger</w:t>
            </w:r>
          </w:p>
        </w:tc>
      </w:tr>
      <w:tr>
        <w:tc>
          <w:tcPr>
            <w:tcW w:type="dxa" w:w="12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L2–L3</w:t>
            </w:r>
          </w:p>
        </w:tc>
        <w:tc>
          <w:tcPr>
            <w:tcW w:type="dxa" w:w="22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Position Drill-Down</w:t>
            </w:r>
          </w:p>
        </w:tc>
        <w:tc>
          <w:tcPr>
            <w:tcW w:type="dxa" w:w="24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Which positions and lots cause the break?</w:t>
            </w:r>
          </w:p>
        </w:tc>
        <w:tc>
          <w:tcPr>
            <w:tcW w:type="dxa" w:w="18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Position / Lot</w:t>
            </w:r>
          </w:p>
        </w:tc>
        <w:tc>
          <w:tcPr>
            <w:tcW w:type="dxa" w:w="176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Position, TaxLot</w:t>
            </w:r>
          </w:p>
        </w:tc>
      </w:tr>
    </w:tbl>
    <w:p>
      <w:pPr>
        <w:pStyle w:val="Heading2"/>
      </w:pPr>
      <w:r>
        <w:t xml:space="preserve">1.3 Design Principles</w:t>
      </w:r>
    </w:p>
    <w:p>
      <w:pPr>
        <w:pStyle w:val="ListParagraph"/>
        <w:numPr>
          <w:ilvl w:val="0"/>
          <w:numId w:val="2"/>
        </w:numPr>
        <w:spacing w:after="60"/>
      </w:pPr>
      <w:r>
        <w:rPr>
          <w:rFonts w:ascii="Arial" w:cs="Arial" w:eastAsia="Arial" w:hAnsi="Arial"/>
          <w:sz w:val="22"/>
          <w:szCs w:val="22"/>
        </w:rPr>
        <w:t xml:space="preserve">Progressive Disclosure: Each screen loads only the data relevant to the user's current investigative scope. Deeper detail is fetched on-demand via click-through.</w:t>
      </w:r>
    </w:p>
    <w:p>
      <w:pPr>
        <w:pStyle w:val="ListParagraph"/>
        <w:numPr>
          <w:ilvl w:val="0"/>
          <w:numId w:val="2"/>
        </w:numPr>
        <w:spacing w:after="60"/>
      </w:pPr>
      <w:r>
        <w:rPr>
          <w:rFonts w:ascii="Arial" w:cs="Arial" w:eastAsia="Arial" w:hAnsi="Arial"/>
          <w:sz w:val="22"/>
          <w:szCs w:val="22"/>
        </w:rPr>
        <w:t xml:space="preserve">Contextual Propagation: The selected Event, Fund, Valuation Date, and Share Class propagate as filter context through every downstream screen. Breadcrumbs encode this context.</w:t>
      </w:r>
    </w:p>
    <w:p>
      <w:pPr>
        <w:pStyle w:val="ListParagraph"/>
        <w:numPr>
          <w:ilvl w:val="0"/>
          <w:numId w:val="2"/>
        </w:numPr>
        <w:spacing w:after="60"/>
      </w:pPr>
      <w:r>
        <w:rPr>
          <w:rFonts w:ascii="Arial" w:cs="Arial" w:eastAsia="Arial" w:hAnsi="Arial"/>
          <w:sz w:val="22"/>
          <w:szCs w:val="22"/>
        </w:rPr>
        <w:t xml:space="preserve">Validation-Aware Rendering: Every numeric comparison carries an inline validation status (pass/break) derived from the data_validation rules. Breaks are color-coded and sortable.</w:t>
      </w:r>
    </w:p>
    <w:p>
      <w:pPr>
        <w:pStyle w:val="ListParagraph"/>
        <w:numPr>
          <w:ilvl w:val="0"/>
          <w:numId w:val="2"/>
        </w:numPr>
        <w:spacing w:after="60"/>
      </w:pPr>
      <w:r>
        <w:rPr>
          <w:rFonts w:ascii="Arial" w:cs="Arial" w:eastAsia="Arial" w:hAnsi="Arial"/>
          <w:sz w:val="22"/>
          <w:szCs w:val="22"/>
        </w:rPr>
        <w:t xml:space="preserve">AI Commentary Persistence: AI agent analysis surfaces at every level. Commentary propagates downward (e.g., an L0 NAV comment about unrealized variance is visible when drilling into the relevant ledger account).</w:t>
      </w:r>
    </w:p>
    <w:p>
      <w:pPr>
        <w:pStyle w:val="ListParagraph"/>
        <w:numPr>
          <w:ilvl w:val="0"/>
          <w:numId w:val="2"/>
        </w:numPr>
        <w:spacing w:after="60"/>
      </w:pPr>
      <w:r>
        <w:rPr>
          <w:rFonts w:ascii="Arial" w:cs="Arial" w:eastAsia="Arial" w:hAnsi="Arial"/>
          <w:sz w:val="22"/>
          <w:szCs w:val="22"/>
        </w:rPr>
        <w:t xml:space="preserve">Bi-Directional Cross-Checks: Where a drill-down row has a secondary validation (e.g., Ledger BS Compare Check alongside NAV Compare), the cross-check result is displayed inline as expandable detail.</w:t>
      </w:r>
    </w:p>
    <w:p>
      <w:r>
        <w:br w:type="page"/>
      </w:r>
    </w:p>
    <w:p>
      <w:pPr>
        <w:pStyle w:val="Heading1"/>
      </w:pPr>
      <w:r>
        <w:t xml:space="preserve">2. Screen 1: Event Dashboard</w:t>
      </w:r>
    </w:p>
    <w:p>
      <w:pPr>
        <w:pStyle w:val="Heading2"/>
      </w:pPr>
      <w:r>
        <w:t xml:space="preserve">2.1 Purpose</w:t>
      </w:r>
    </w:p>
    <w:p>
      <w:pPr>
        <w:spacing w:after="120" w:before="0"/>
      </w:pPr>
      <w:r>
        <w:rPr>
          <w:rFonts w:ascii="Arial" w:cs="Arial" w:eastAsia="Arial" w:hAnsi="Arial"/>
          <w:sz w:val="22"/>
          <w:szCs w:val="22"/>
        </w:rPr>
        <w:t xml:space="preserve">The Event Dashboard is the landing page of the RECON-AI Control Center. It provides a portfolio-level view of all active conversion events, their fund counts, validation health, and recent activity. The user selects an event to begin investigation.</w:t>
      </w:r>
    </w:p>
    <w:p>
      <w:pPr>
        <w:pStyle w:val="Heading2"/>
      </w:pPr>
      <w:r>
        <w:t xml:space="preserve">2.2 URL &amp; Routing</w:t>
      </w:r>
    </w:p>
    <w:p>
      <w:pPr>
        <w:spacing w:after="120" w:before="0"/>
      </w:pPr>
      <w:r>
        <w:rPr>
          <w:rFonts w:ascii="Courier New" w:cs="Courier New" w:eastAsia="Courier New" w:hAnsi="Courier New"/>
          <w:sz w:val="20"/>
          <w:szCs w:val="20"/>
        </w:rPr>
        <w:t xml:space="preserve">/events</w:t>
      </w:r>
    </w:p>
    <w:p>
      <w:pPr>
        <w:pStyle w:val="Heading2"/>
      </w:pPr>
      <w:r>
        <w:t xml:space="preserve">2.3 Layout Structure</w:t>
      </w:r>
    </w:p>
    <w:p>
      <w:pPr>
        <w:pStyle w:val="Heading3"/>
      </w:pPr>
      <w:r>
        <w:t xml:space="preserve">2.3.1 Event Cards Grid</w:t>
      </w:r>
    </w:p>
    <w:p>
      <w:pPr>
        <w:spacing w:after="120" w:before="0"/>
      </w:pPr>
      <w:r>
        <w:rPr>
          <w:rFonts w:ascii="Arial" w:cs="Arial" w:eastAsia="Arial" w:hAnsi="Arial"/>
          <w:sz w:val="22"/>
          <w:szCs w:val="22"/>
        </w:rPr>
        <w:t xml:space="preserve">Each conversion event is represented as a card in a responsive grid. Cards provide at-a-glance status and direct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Component</w:t>
            </w:r>
          </w:p>
        </w:tc>
        <w:tc>
          <w:tcPr>
            <w:tcW w:type="dxa" w:w="16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53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Event Name + ID</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Text</w:t>
            </w:r>
          </w:p>
        </w:tc>
        <w:tc>
          <w:tcPr>
            <w:tcW w:type="dxa" w:w="53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Descriptive name and system ID (e.g., EVT-2026-001: Vanguard Fixed Income Migration)</w:t>
            </w:r>
          </w:p>
        </w:tc>
      </w:tr>
      <w:tr>
        <w:tc>
          <w:tcPr>
            <w:tcW w:type="dxa" w:w="24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Status Badge</w:t>
            </w:r>
          </w:p>
        </w:tc>
        <w:tc>
          <w:tcPr>
            <w:tcW w:type="dxa" w:w="16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Enum Badge</w:t>
            </w:r>
          </w:p>
        </w:tc>
        <w:tc>
          <w:tcPr>
            <w:tcW w:type="dxa" w:w="536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DRAFT (gray), ACTIVE (blue), PARALLEL (amber), SIGNED_OFF (green), COMPLETE (teal)</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Fund Progress Bar</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Progress</w:t>
            </w:r>
          </w:p>
        </w:tc>
        <w:tc>
          <w:tcPr>
            <w:tcW w:type="dxa" w:w="53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Horizontal bar: funds passed (green) / attention (amber) / failed (red) / total. Label: "12 of 15 funds passed"</w:t>
            </w:r>
          </w:p>
        </w:tc>
      </w:tr>
      <w:tr>
        <w:tc>
          <w:tcPr>
            <w:tcW w:type="dxa" w:w="24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Incumbent Provider</w:t>
            </w:r>
          </w:p>
        </w:tc>
        <w:tc>
          <w:tcPr>
            <w:tcW w:type="dxa" w:w="16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Text</w:t>
            </w:r>
          </w:p>
        </w:tc>
        <w:tc>
          <w:tcPr>
            <w:tcW w:type="dxa" w:w="536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Source system name (e.g., State Street, Northern Trust)</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Target Go-Live</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Date</w:t>
            </w:r>
          </w:p>
        </w:tc>
        <w:tc>
          <w:tcPr>
            <w:tcW w:type="dxa" w:w="53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Planned production cutover date with countdown (e.g., "Mar 15, 2026 – 31 days")</w:t>
            </w:r>
          </w:p>
        </w:tc>
      </w:tr>
      <w:tr>
        <w:tc>
          <w:tcPr>
            <w:tcW w:type="dxa" w:w="24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7-Day Break Trend</w:t>
            </w:r>
          </w:p>
        </w:tc>
        <w:tc>
          <w:tcPr>
            <w:tcW w:type="dxa" w:w="16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Sparkline</w:t>
            </w:r>
          </w:p>
        </w:tc>
        <w:tc>
          <w:tcPr>
            <w:tcW w:type="dxa" w:w="536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Mini line chart showing total break count across all funds over trailing 7 valuation dates</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Last Validation</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Timestamp</w:t>
            </w:r>
          </w:p>
        </w:tc>
        <w:tc>
          <w:tcPr>
            <w:tcW w:type="dxa" w:w="53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Most recent validation run completion time with relative label (e.g., "Today 08:35 AM")</w:t>
            </w:r>
          </w:p>
        </w:tc>
      </w:tr>
      <w:tr>
        <w:tc>
          <w:tcPr>
            <w:tcW w:type="dxa" w:w="24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Quick Actions</w:t>
            </w:r>
          </w:p>
        </w:tc>
        <w:tc>
          <w:tcPr>
            <w:tcW w:type="dxa" w:w="16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Buttons</w:t>
            </w:r>
          </w:p>
        </w:tc>
        <w:tc>
          <w:tcPr>
            <w:tcW w:type="dxa" w:w="536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Primary: [Run Validation] → triggers validation modal. Secondary: [View Details] → navigates to NAV Dashboard</w:t>
            </w:r>
          </w:p>
        </w:tc>
      </w:tr>
    </w:tbl>
    <w:p>
      <w:pPr>
        <w:pStyle w:val="Heading3"/>
      </w:pPr>
      <w:r>
        <w:t xml:space="preserve">2.3.2 Quick Filters Bar</w:t>
      </w:r>
    </w:p>
    <w:p>
      <w:pPr>
        <w:pStyle w:val="ListParagraph"/>
        <w:numPr>
          <w:ilvl w:val="0"/>
          <w:numId w:val="2"/>
        </w:numPr>
        <w:spacing w:after="60"/>
      </w:pPr>
      <w:r>
        <w:rPr>
          <w:rFonts w:ascii="Arial" w:cs="Arial" w:eastAsia="Arial" w:hAnsi="Arial"/>
          <w:sz w:val="22"/>
          <w:szCs w:val="22"/>
        </w:rPr>
        <w:t xml:space="preserve">Status: Multi-select chips for DRAFT, ACTIVE, PARALLEL, SIGNED_OFF, COMPLETE</w:t>
      </w:r>
    </w:p>
    <w:p>
      <w:pPr>
        <w:pStyle w:val="ListParagraph"/>
        <w:numPr>
          <w:ilvl w:val="0"/>
          <w:numId w:val="2"/>
        </w:numPr>
        <w:spacing w:after="60"/>
      </w:pPr>
      <w:r>
        <w:rPr>
          <w:rFonts w:ascii="Arial" w:cs="Arial" w:eastAsia="Arial" w:hAnsi="Arial"/>
          <w:sz w:val="22"/>
          <w:szCs w:val="22"/>
        </w:rPr>
        <w:t xml:space="preserve">Date Range: Date picker filtering events by target go-live window</w:t>
      </w:r>
    </w:p>
    <w:p>
      <w:pPr>
        <w:pStyle w:val="ListParagraph"/>
        <w:numPr>
          <w:ilvl w:val="0"/>
          <w:numId w:val="2"/>
        </w:numPr>
        <w:spacing w:after="60"/>
      </w:pPr>
      <w:r>
        <w:rPr>
          <w:rFonts w:ascii="Arial" w:cs="Arial" w:eastAsia="Arial" w:hAnsi="Arial"/>
          <w:sz w:val="22"/>
          <w:szCs w:val="22"/>
        </w:rPr>
        <w:t xml:space="preserve">Assigned To Me: Toggle filter showing only events where current user is on assignedTeam</w:t>
      </w:r>
    </w:p>
    <w:p>
      <w:pPr>
        <w:pStyle w:val="ListParagraph"/>
        <w:numPr>
          <w:ilvl w:val="0"/>
          <w:numId w:val="2"/>
        </w:numPr>
        <w:spacing w:after="60"/>
      </w:pPr>
      <w:r>
        <w:rPr>
          <w:rFonts w:ascii="Arial" w:cs="Arial" w:eastAsia="Arial" w:hAnsi="Arial"/>
          <w:sz w:val="22"/>
          <w:szCs w:val="22"/>
        </w:rPr>
        <w:t xml:space="preserve">Search: Full-text search across event name, fund names, and incumbent provider</w:t>
      </w:r>
    </w:p>
    <w:p>
      <w:pPr>
        <w:pStyle w:val="Heading3"/>
      </w:pPr>
      <w:r>
        <w:t xml:space="preserve">2.3.3 Activity Feed (Right Panel)</w:t>
      </w:r>
    </w:p>
    <w:p>
      <w:pPr>
        <w:spacing w:after="120" w:before="0"/>
      </w:pPr>
      <w:r>
        <w:rPr>
          <w:rFonts w:ascii="Arial" w:cs="Arial" w:eastAsia="Arial" w:hAnsi="Arial"/>
          <w:sz w:val="22"/>
          <w:szCs w:val="22"/>
        </w:rPr>
        <w:t xml:space="preserve">A chronological feed of system events scoped to the user's accessible events:</w:t>
      </w:r>
    </w:p>
    <w:p>
      <w:pPr>
        <w:pStyle w:val="ListParagraph"/>
        <w:numPr>
          <w:ilvl w:val="0"/>
          <w:numId w:val="2"/>
        </w:numPr>
        <w:spacing w:after="60"/>
      </w:pPr>
      <w:r>
        <w:rPr>
          <w:rFonts w:ascii="Arial" w:cs="Arial" w:eastAsia="Arial" w:hAnsi="Arial"/>
          <w:sz w:val="22"/>
          <w:szCs w:val="22"/>
        </w:rPr>
        <w:t xml:space="preserve">Validation run completions with pass/fail summary</w:t>
      </w:r>
    </w:p>
    <w:p>
      <w:pPr>
        <w:pStyle w:val="ListParagraph"/>
        <w:numPr>
          <w:ilvl w:val="0"/>
          <w:numId w:val="2"/>
        </w:numPr>
        <w:spacing w:after="60"/>
      </w:pPr>
      <w:r>
        <w:rPr>
          <w:rFonts w:ascii="Arial" w:cs="Arial" w:eastAsia="Arial" w:hAnsi="Arial"/>
          <w:sz w:val="22"/>
          <w:szCs w:val="22"/>
        </w:rPr>
        <w:t xml:space="preserve">AI analysis completions with confidence score</w:t>
      </w:r>
    </w:p>
    <w:p>
      <w:pPr>
        <w:pStyle w:val="ListParagraph"/>
        <w:numPr>
          <w:ilvl w:val="0"/>
          <w:numId w:val="2"/>
        </w:numPr>
        <w:spacing w:after="60"/>
      </w:pPr>
      <w:r>
        <w:rPr>
          <w:rFonts w:ascii="Arial" w:cs="Arial" w:eastAsia="Arial" w:hAnsi="Arial"/>
          <w:sz w:val="22"/>
          <w:szCs w:val="22"/>
        </w:rPr>
        <w:t xml:space="preserve">Human review actions (approved, modified, escalated)</w:t>
      </w:r>
    </w:p>
    <w:p>
      <w:pPr>
        <w:pStyle w:val="ListParagraph"/>
        <w:numPr>
          <w:ilvl w:val="0"/>
          <w:numId w:val="2"/>
        </w:numPr>
        <w:spacing w:after="60"/>
      </w:pPr>
      <w:r>
        <w:rPr>
          <w:rFonts w:ascii="Arial" w:cs="Arial" w:eastAsia="Arial" w:hAnsi="Arial"/>
          <w:sz w:val="22"/>
          <w:szCs w:val="22"/>
        </w:rPr>
        <w:t xml:space="preserve">Status transitions (event or fund status changes)</w:t>
      </w:r>
    </w:p>
    <w:p>
      <w:pPr>
        <w:spacing w:after="120" w:before="0"/>
      </w:pPr>
      <w:r>
        <w:rPr>
          <w:rFonts w:ascii="Arial" w:cs="Arial" w:eastAsia="Arial" w:hAnsi="Arial"/>
          <w:sz w:val="22"/>
          <w:szCs w:val="22"/>
        </w:rPr>
        <w:t xml:space="preserve">Each feed item is clickable and navigates to the relevant screen context.</w:t>
      </w:r>
    </w:p>
    <w:p>
      <w:pPr>
        <w:pStyle w:val="Heading2"/>
      </w:pPr>
      <w:r>
        <w:t xml:space="preserve">2.4 User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c>
          <w:tcPr>
            <w:tcW w:type="dxa" w:w="22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Action</w:t>
            </w:r>
          </w:p>
        </w:tc>
        <w:tc>
          <w:tcPr>
            <w:tcW w:type="dxa" w:w="40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Behavior</w:t>
            </w:r>
          </w:p>
        </w:tc>
        <w:tc>
          <w:tcPr>
            <w:tcW w:type="dxa" w:w="31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Navigation</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Click Event Card</w:t>
            </w:r>
          </w:p>
        </w:tc>
        <w:tc>
          <w:tcPr>
            <w:tcW w:type="dxa" w:w="4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Selects the event and loads NAV Dashboard context</w:t>
            </w:r>
          </w:p>
        </w:tc>
        <w:tc>
          <w:tcPr>
            <w:tcW w:type="dxa" w:w="31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 /events/{eventId}/nav-dashboard</w:t>
            </w:r>
          </w:p>
        </w:tc>
      </w:tr>
      <w:tr>
        <w:tc>
          <w:tcPr>
            <w:tcW w:type="dxa" w:w="22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Click [Run Validation]</w:t>
            </w:r>
          </w:p>
        </w:tc>
        <w:tc>
          <w:tcPr>
            <w:tcW w:type="dxa" w:w="40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Opens validation configuration modal (date picker, check suite selector, fund filter)</w:t>
            </w:r>
          </w:p>
        </w:tc>
        <w:tc>
          <w:tcPr>
            <w:tcW w:type="dxa" w:w="316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Modal overlay, stays on page</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Click [View Details]</w:t>
            </w:r>
          </w:p>
        </w:tc>
        <w:tc>
          <w:tcPr>
            <w:tcW w:type="dxa" w:w="4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Direct navigation to event's NAV Dashboard</w:t>
            </w:r>
          </w:p>
        </w:tc>
        <w:tc>
          <w:tcPr>
            <w:tcW w:type="dxa" w:w="31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 /events/{eventId}/nav-dashboard</w:t>
            </w:r>
          </w:p>
        </w:tc>
      </w:tr>
      <w:tr>
        <w:tc>
          <w:tcPr>
            <w:tcW w:type="dxa" w:w="22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Click Activity Feed Item</w:t>
            </w:r>
          </w:p>
        </w:tc>
        <w:tc>
          <w:tcPr>
            <w:tcW w:type="dxa" w:w="40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Navigates to the specific context (validation run, break, etc.)</w:t>
            </w:r>
          </w:p>
        </w:tc>
        <w:tc>
          <w:tcPr>
            <w:tcW w:type="dxa" w:w="316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 context-dependent route</w:t>
            </w:r>
          </w:p>
        </w:tc>
      </w:tr>
    </w:tbl>
    <w:p>
      <w:pPr>
        <w:pStyle w:val="Heading2"/>
      </w:pPr>
      <w:r>
        <w:t xml:space="preserve">2.5 Data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200"/>
        <w:gridCol w:w="2160"/>
      </w:tblGrid>
      <w:tr>
        <w:tc>
          <w:tcPr>
            <w:tcW w:type="dxa" w:w="25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Data Element</w:t>
            </w:r>
          </w:p>
        </w:tc>
        <w:tc>
          <w:tcPr>
            <w:tcW w:type="dxa" w:w="25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Source</w:t>
            </w:r>
          </w:p>
        </w:tc>
        <w:tc>
          <w:tcPr>
            <w:tcW w:type="dxa" w:w="22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Refresh</w:t>
            </w:r>
          </w:p>
        </w:tc>
        <w:tc>
          <w:tcPr>
            <w:tcW w:type="dxa" w:w="21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Notes</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Event metadata</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Event entity store</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On page load</w:t>
            </w:r>
          </w:p>
        </w:tc>
        <w:tc>
          <w:tcPr>
            <w:tcW w:type="dxa" w:w="21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eventId, name, status, dates, team</w:t>
            </w:r>
          </w:p>
        </w:tc>
      </w:tr>
      <w:tr>
        <w:tc>
          <w:tcPr>
            <w:tcW w:type="dxa" w:w="25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Fund roll-up counts</w:t>
            </w:r>
          </w:p>
        </w:tc>
        <w:tc>
          <w:tcPr>
            <w:tcW w:type="dxa" w:w="25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ValidationRun aggregation</w:t>
            </w:r>
          </w:p>
        </w:tc>
        <w:tc>
          <w:tcPr>
            <w:tcW w:type="dxa" w:w="22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Real-time (WebSocket)</w:t>
            </w:r>
          </w:p>
        </w:tc>
        <w:tc>
          <w:tcPr>
            <w:tcW w:type="dxa" w:w="216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Pass/fail/attention counts per event</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Break trend data</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BreakRecord time series</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On page load + daily</w:t>
            </w:r>
          </w:p>
        </w:tc>
        <w:tc>
          <w:tcPr>
            <w:tcW w:type="dxa" w:w="21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7-day rolling aggregation</w:t>
            </w:r>
          </w:p>
        </w:tc>
      </w:tr>
      <w:tr>
        <w:tc>
          <w:tcPr>
            <w:tcW w:type="dxa" w:w="25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Activity feed</w:t>
            </w:r>
          </w:p>
        </w:tc>
        <w:tc>
          <w:tcPr>
            <w:tcW w:type="dxa" w:w="25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Audit trail + AI analysis</w:t>
            </w:r>
          </w:p>
        </w:tc>
        <w:tc>
          <w:tcPr>
            <w:tcW w:type="dxa" w:w="22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Real-time (SSE)</w:t>
            </w:r>
          </w:p>
        </w:tc>
        <w:tc>
          <w:tcPr>
            <w:tcW w:type="dxa" w:w="216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Scoped to user's assigned events</w:t>
            </w:r>
          </w:p>
        </w:tc>
      </w:tr>
    </w:tbl>
    <w:p>
      <w:r>
        <w:br w:type="page"/>
      </w:r>
    </w:p>
    <w:p>
      <w:pPr>
        <w:pStyle w:val="Heading1"/>
      </w:pPr>
      <w:r>
        <w:t xml:space="preserve">3. Screen 2: NAV Dashboard</w:t>
      </w:r>
    </w:p>
    <w:p>
      <w:pPr>
        <w:pStyle w:val="Heading2"/>
      </w:pPr>
      <w:r>
        <w:t xml:space="preserve">3.1 Purpose</w:t>
      </w:r>
    </w:p>
    <w:p>
      <w:pPr>
        <w:spacing w:after="120" w:before="0"/>
      </w:pPr>
      <w:r>
        <w:rPr>
          <w:rFonts w:ascii="Arial" w:cs="Arial" w:eastAsia="Arial" w:hAnsi="Arial"/>
          <w:sz w:val="22"/>
          <w:szCs w:val="22"/>
        </w:rPr>
        <w:t xml:space="preserve">The NAV Dashboard is the primary operational workspace for a single conversion event. It displays the NAV Compare (TF) validation, which is the aggregate-of-all-classes comparison between Incumbent TNA and BNY TNA for every fund in the event on a selected valuation date. This is the L0 reconciliation entry point. Each row is expandable to reveal inline cross-check validations (Ledger BS Compare Check, Ledger INCST Compare Check) before drilling deeper.</w:t>
      </w:r>
    </w:p>
    <w:p>
      <w:pPr>
        <w:pStyle w:val="Heading2"/>
      </w:pPr>
      <w:r>
        <w:t xml:space="preserve">3.2 URL &amp; Routing</w:t>
      </w:r>
    </w:p>
    <w:p>
      <w:pPr>
        <w:spacing w:after="120" w:before="0"/>
      </w:pPr>
      <w:r>
        <w:rPr>
          <w:rFonts w:ascii="Courier New" w:cs="Courier New" w:eastAsia="Courier New" w:hAnsi="Courier New"/>
          <w:sz w:val="20"/>
          <w:szCs w:val="20"/>
        </w:rPr>
        <w:t xml:space="preserve">/events/{eventId}/nav-dashboard?valuationDt={date}</w:t>
      </w:r>
    </w:p>
    <w:p>
      <w:pPr>
        <w:pStyle w:val="Heading2"/>
      </w:pPr>
      <w:r>
        <w:t xml:space="preserve">3.3 Breadcrumb</w:t>
      </w:r>
    </w:p>
    <w:p>
      <w:pPr>
        <w:spacing w:after="120" w:before="0"/>
      </w:pPr>
      <w:r>
        <w:rPr>
          <w:rFonts w:ascii="Arial" w:cs="Arial" w:eastAsia="Arial" w:hAnsi="Arial"/>
          <w:color w:val="2C5F8A"/>
          <w:sz w:val="22"/>
          <w:szCs w:val="22"/>
        </w:rPr>
        <w:t xml:space="preserve">Events &gt; {Event Name}</w:t>
      </w:r>
    </w:p>
    <w:p>
      <w:pPr>
        <w:pStyle w:val="Heading2"/>
      </w:pPr>
      <w:r>
        <w:t xml:space="preserve">3.4 Layout Structure</w:t>
      </w:r>
    </w:p>
    <w:p>
      <w:pPr>
        <w:pStyle w:val="Heading3"/>
      </w:pPr>
      <w:r>
        <w:t xml:space="preserve">3.4.1 Validation Control Panel</w:t>
      </w:r>
    </w:p>
    <w:p>
      <w:pPr>
        <w:spacing w:after="120" w:before="0"/>
      </w:pPr>
      <w:r>
        <w:rPr>
          <w:rFonts w:ascii="Arial" w:cs="Arial" w:eastAsia="Arial" w:hAnsi="Arial"/>
          <w:sz w:val="22"/>
          <w:szCs w:val="22"/>
        </w:rPr>
        <w:t xml:space="preserve">A sticky panel at the top of the screen providing validation execution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Control</w:t>
            </w:r>
          </w:p>
        </w:tc>
        <w:tc>
          <w:tcPr>
            <w:tcW w:type="dxa" w:w="22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49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Behavior</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Valuation Date</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Date Picker</w:t>
            </w:r>
          </w:p>
        </w:tc>
        <w:tc>
          <w:tcPr>
            <w:tcW w:type="dxa" w:w="49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Selects the NAV date for comparison. Defaults to most recent available date. Calendar highlights dates with existing validation runs (dot indicator). Changing date triggers data refresh.</w:t>
            </w:r>
          </w:p>
        </w:tc>
      </w:tr>
      <w:tr>
        <w:tc>
          <w:tcPr>
            <w:tcW w:type="dxa" w:w="22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Check Suite</w:t>
            </w:r>
          </w:p>
        </w:tc>
        <w:tc>
          <w:tcPr>
            <w:tcW w:type="dxa" w:w="22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Multi-select Checkboxes</w:t>
            </w:r>
          </w:p>
        </w:tc>
        <w:tc>
          <w:tcPr>
            <w:tcW w:type="dxa" w:w="496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NAV to Ledger (L0), Ledger BS to INCST (L1), Ledger TF to Class (L1), Position to Lot (L2), Ledger to Subledger (L2), Basis Lot Check (L2). All checked by default.</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Fund Filter</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Radio + Multi-select</w:t>
            </w:r>
          </w:p>
        </w:tc>
        <w:tc>
          <w:tcPr>
            <w:tcW w:type="dxa" w:w="49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All Funds (default) or Selected Only with searchable fund picker. Persists selection across date changes.</w:t>
            </w:r>
          </w:p>
        </w:tc>
      </w:tr>
      <w:tr>
        <w:tc>
          <w:tcPr>
            <w:tcW w:type="dxa" w:w="22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Run Validation</w:t>
            </w:r>
          </w:p>
        </w:tc>
        <w:tc>
          <w:tcPr>
            <w:tcW w:type="dxa" w:w="22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Primary Button</w:t>
            </w:r>
          </w:p>
        </w:tc>
        <w:tc>
          <w:tcPr>
            <w:tcW w:type="dxa" w:w="496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Triggers validation execution. Shows loading state with progress bar ("Processing fund 3 of 15..."). Disabled during active run.</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Schedule</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Secondary Button</w:t>
            </w:r>
          </w:p>
        </w:tc>
        <w:tc>
          <w:tcPr>
            <w:tcW w:type="dxa" w:w="49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Opens scheduling modal for recurring daily validation at configured time.</w:t>
            </w:r>
          </w:p>
        </w:tc>
      </w:tr>
    </w:tbl>
    <w:p>
      <w:pPr>
        <w:pStyle w:val="Heading3"/>
      </w:pPr>
      <w:r>
        <w:t xml:space="preserve">3.4.2 NAV Compare Grid (Primary Table)</w:t>
      </w:r>
    </w:p>
    <w:p>
      <w:pPr>
        <w:spacing w:after="120" w:before="0"/>
      </w:pPr>
      <w:r>
        <w:rPr>
          <w:rFonts w:ascii="Arial" w:cs="Arial" w:eastAsia="Arial" w:hAnsi="Arial"/>
          <w:sz w:val="22"/>
          <w:szCs w:val="22"/>
        </w:rPr>
        <w:t xml:space="preserve">This is the core data grid implementing the NAV to Ledger validation (Section 1.1 of Data Validation Rules). It shows aggregate-of-all-classes NAV comparison for each fund.</w:t>
      </w:r>
    </w:p>
    <w:p>
      <w:pPr>
        <w:spacing w:after="120" w:before="120"/>
      </w:pPr>
      <w:r>
        <w:rPr>
          <w:rFonts w:ascii="Arial" w:cs="Arial" w:eastAsia="Arial" w:hAnsi="Arial"/>
          <w:b/>
          <w:bCs/>
          <w:sz w:val="22"/>
          <w:szCs w:val="22"/>
        </w:rPr>
        <w:t xml:space="preserve">Grid Configuration:</w:t>
      </w:r>
    </w:p>
    <w:p>
      <w:pPr>
        <w:pStyle w:val="ListParagraph"/>
        <w:numPr>
          <w:ilvl w:val="0"/>
          <w:numId w:val="2"/>
        </w:numPr>
        <w:spacing w:after="60"/>
      </w:pPr>
      <w:r>
        <w:rPr>
          <w:rFonts w:ascii="Arial" w:cs="Arial" w:eastAsia="Arial" w:hAnsi="Arial"/>
          <w:sz w:val="22"/>
          <w:szCs w:val="22"/>
        </w:rPr>
        <w:t xml:space="preserve">Component: AG-Grid Enterprise with server-side row model</w:t>
      </w:r>
    </w:p>
    <w:p>
      <w:pPr>
        <w:pStyle w:val="ListParagraph"/>
        <w:numPr>
          <w:ilvl w:val="0"/>
          <w:numId w:val="2"/>
        </w:numPr>
        <w:spacing w:after="60"/>
      </w:pPr>
      <w:r>
        <w:rPr>
          <w:rFonts w:ascii="Arial" w:cs="Arial" w:eastAsia="Arial" w:hAnsi="Arial"/>
          <w:sz w:val="22"/>
          <w:szCs w:val="22"/>
        </w:rPr>
        <w:t xml:space="preserve">Default Sort: Validation status (breaks first), then by absolute TNA Difference descending</w:t>
      </w:r>
    </w:p>
    <w:p>
      <w:pPr>
        <w:pStyle w:val="ListParagraph"/>
        <w:numPr>
          <w:ilvl w:val="0"/>
          <w:numId w:val="2"/>
        </w:numPr>
        <w:spacing w:after="60"/>
      </w:pPr>
      <w:r>
        <w:rPr>
          <w:rFonts w:ascii="Arial" w:cs="Arial" w:eastAsia="Arial" w:hAnsi="Arial"/>
          <w:sz w:val="22"/>
          <w:szCs w:val="22"/>
        </w:rPr>
        <w:t xml:space="preserve">Row Selection: Single-click selects row, double-click opens Trial Balance drill-down</w:t>
      </w:r>
    </w:p>
    <w:p>
      <w:pPr>
        <w:pStyle w:val="ListParagraph"/>
        <w:numPr>
          <w:ilvl w:val="0"/>
          <w:numId w:val="2"/>
        </w:numPr>
        <w:spacing w:after="60"/>
      </w:pPr>
      <w:r>
        <w:rPr>
          <w:rFonts w:ascii="Arial" w:cs="Arial" w:eastAsia="Arial" w:hAnsi="Arial"/>
          <w:sz w:val="22"/>
          <w:szCs w:val="22"/>
        </w:rPr>
        <w:t xml:space="preserve">Expandable Rows: Chevron expands to show inline cross-check validations</w:t>
      </w:r>
    </w:p>
    <w:p>
      <w:pPr>
        <w:spacing w:after="120" w:before="120"/>
      </w:pPr>
      <w:r>
        <w:rPr>
          <w:rFonts w:ascii="Arial" w:cs="Arial" w:eastAsia="Arial" w:hAnsi="Arial"/>
          <w:b/>
          <w:bCs/>
          <w:sz w:val="22"/>
          <w:szCs w:val="22"/>
        </w:rPr>
        <w:t xml:space="preserve">Column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200"/>
        <w:gridCol w:w="2000"/>
        <w:gridCol w:w="2760"/>
      </w:tblGrid>
      <w:tr>
        <w:tc>
          <w:tcPr>
            <w:tcW w:type="dxa" w:w="20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Column</w:t>
            </w:r>
          </w:p>
        </w:tc>
        <w:tc>
          <w:tcPr>
            <w:tcW w:type="dxa" w:w="14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 Source</w:t>
            </w:r>
          </w:p>
        </w:tc>
        <w:tc>
          <w:tcPr>
            <w:tcW w:type="dxa" w:w="12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Data Type</w:t>
            </w:r>
          </w:p>
        </w:tc>
        <w:tc>
          <w:tcPr>
            <w:tcW w:type="dxa" w:w="20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Format</w:t>
            </w:r>
          </w:p>
        </w:tc>
        <w:tc>
          <w:tcPr>
            <w:tcW w:type="dxa" w:w="27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Notes</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Valuation Dt</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dataNav.valuationDt</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Date</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YYYY-MM-DD</w:t>
            </w:r>
          </w:p>
        </w:tc>
        <w:tc>
          <w:tcPr>
            <w:tcW w:type="dxa" w:w="27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Key field from canonical model</w:t>
            </w:r>
          </w:p>
        </w:tc>
      </w:tr>
      <w:tr>
        <w:tc>
          <w:tcPr>
            <w:tcW w:type="dxa" w:w="20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Account</w:t>
            </w:r>
          </w:p>
        </w:tc>
        <w:tc>
          <w:tcPr>
            <w:tcW w:type="dxa" w:w="14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dataNav.account</w:t>
            </w:r>
          </w:p>
        </w:tc>
        <w:tc>
          <w:tcPr>
            <w:tcW w:type="dxa" w:w="12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String</w:t>
            </w:r>
          </w:p>
        </w:tc>
        <w:tc>
          <w:tcPr>
            <w:tcW w:type="dxa" w:w="20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Left-aligned</w:t>
            </w:r>
          </w:p>
        </w:tc>
        <w:tc>
          <w:tcPr>
            <w:tcW w:type="dxa" w:w="276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Portfolio account ID, links to refFund</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Account Name</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refFund.accountName</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String</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Left-aligned</w:t>
            </w:r>
          </w:p>
        </w:tc>
        <w:tc>
          <w:tcPr>
            <w:tcW w:type="dxa" w:w="27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Display field joined from refFund</w:t>
            </w:r>
          </w:p>
        </w:tc>
      </w:tr>
      <w:tr>
        <w:tc>
          <w:tcPr>
            <w:tcW w:type="dxa" w:w="20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Incumbent TNA</w:t>
            </w:r>
          </w:p>
        </w:tc>
        <w:tc>
          <w:tcPr>
            <w:tcW w:type="dxa" w:w="14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dataNav.netAssets (Incumbent)</w:t>
            </w:r>
          </w:p>
        </w:tc>
        <w:tc>
          <w:tcPr>
            <w:tcW w:type="dxa" w:w="12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Decimal(18,2)</w:t>
            </w:r>
          </w:p>
        </w:tc>
        <w:tc>
          <w:tcPr>
            <w:tcW w:type="dxa" w:w="20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#,##0.00</w:t>
            </w:r>
          </w:p>
        </w:tc>
        <w:tc>
          <w:tcPr>
            <w:tcW w:type="dxa" w:w="276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LHS: Net assets from incumbent source (userBank = incumbent)</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BNY TNA</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dataNav.netAssets (BNY)</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Decimal(18,2)</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#,##0.00</w:t>
            </w:r>
          </w:p>
        </w:tc>
        <w:tc>
          <w:tcPr>
            <w:tcW w:type="dxa" w:w="27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RHS: Net assets from BNY source (userBank = BNY)</w:t>
            </w:r>
          </w:p>
        </w:tc>
      </w:tr>
      <w:tr>
        <w:tc>
          <w:tcPr>
            <w:tcW w:type="dxa" w:w="20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TNA Difference</w:t>
            </w:r>
          </w:p>
        </w:tc>
        <w:tc>
          <w:tcPr>
            <w:tcW w:type="dxa" w:w="14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Calculated</w:t>
            </w:r>
          </w:p>
        </w:tc>
        <w:tc>
          <w:tcPr>
            <w:tcW w:type="dxa" w:w="12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Decimal(18,2)</w:t>
            </w:r>
          </w:p>
        </w:tc>
        <w:tc>
          <w:tcPr>
            <w:tcW w:type="dxa" w:w="20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(#,##0.00) red for negative</w:t>
            </w:r>
          </w:p>
        </w:tc>
        <w:tc>
          <w:tcPr>
            <w:tcW w:type="dxa" w:w="276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Incumbent TNA - BNY TNA</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TNA Difference BP</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Calculated</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Decimal(10,4)</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#,##0.00 bp</w:t>
            </w:r>
          </w:p>
        </w:tc>
        <w:tc>
          <w:tcPr>
            <w:tcW w:type="dxa" w:w="27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Difference as basis points of Incumbent TNA</w:t>
            </w:r>
          </w:p>
        </w:tc>
      </w:tr>
      <w:tr>
        <w:tc>
          <w:tcPr>
            <w:tcW w:type="dxa" w:w="20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Validation</w:t>
            </w:r>
          </w:p>
        </w:tc>
        <w:tc>
          <w:tcPr>
            <w:tcW w:type="dxa" w:w="14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Computed</w:t>
            </w:r>
          </w:p>
        </w:tc>
        <w:tc>
          <w:tcPr>
            <w:tcW w:type="dxa" w:w="12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Enum</w:t>
            </w:r>
          </w:p>
        </w:tc>
        <w:tc>
          <w:tcPr>
            <w:tcW w:type="dxa" w:w="20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Traffic light icon</w:t>
            </w:r>
          </w:p>
        </w:tc>
        <w:tc>
          <w:tcPr>
            <w:tcW w:type="dxa" w:w="276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Green: |diff| &lt; threshold. Amber: marginal. Red: material break. Threshold configurable per event.</w:t>
            </w:r>
          </w:p>
        </w:tc>
      </w:tr>
    </w:tbl>
    <w:p>
      <w:pPr>
        <w:pStyle w:val="Heading3"/>
      </w:pPr>
      <w:r>
        <w:t xml:space="preserve">3.4.3 Expandable Row: Inline Cross-Check Validations</w:t>
      </w:r>
    </w:p>
    <w:p>
      <w:pPr>
        <w:spacing w:after="120" w:before="0"/>
      </w:pPr>
      <w:r>
        <w:rPr>
          <w:rFonts w:ascii="Arial" w:cs="Arial" w:eastAsia="Arial" w:hAnsi="Arial"/>
          <w:sz w:val="22"/>
          <w:szCs w:val="22"/>
        </w:rPr>
        <w:t xml:space="preserve">When a user expands a NAV Compare row, two inline cross-check tables appear beneath it. These correspond to the secondary validations that verify internal consistency of the BNY data before comparing to the incumbent.</w:t>
      </w:r>
    </w:p>
    <w:p>
      <w:pPr>
        <w:spacing w:after="120" w:before="100"/>
      </w:pPr>
      <w:r>
        <w:rPr>
          <w:rFonts w:ascii="Arial" w:cs="Arial" w:eastAsia="Arial" w:hAnsi="Arial"/>
          <w:b/>
          <w:bCs/>
          <w:sz w:val="22"/>
          <w:szCs w:val="22"/>
        </w:rPr>
        <w:t xml:space="preserve">Cross-Check A: Ledger BS Compare Check</w:t>
      </w:r>
    </w:p>
    <w:p>
      <w:pPr>
        <w:spacing w:after="120" w:before="0"/>
      </w:pPr>
      <w:r>
        <w:rPr>
          <w:rFonts w:ascii="Arial" w:cs="Arial" w:eastAsia="Arial" w:hAnsi="Arial"/>
          <w:sz w:val="22"/>
          <w:szCs w:val="22"/>
        </w:rPr>
        <w:t xml:space="preserve">Validates that the ledger balance sheet (GL accounts starting with 1 or 2, class = TF) ties to the reported NAV netAssets. This implements validation rule 1.1 (NAV to Ledger) at the individual fund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1800"/>
        <w:gridCol w:w="1360"/>
      </w:tblGrid>
      <w:tr>
        <w:tc>
          <w:tcPr>
            <w:tcW w:type="dxa" w:w="22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Column</w:t>
            </w:r>
          </w:p>
        </w:tc>
        <w:tc>
          <w:tcPr>
            <w:tcW w:type="dxa" w:w="20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LHS Source</w:t>
            </w:r>
          </w:p>
        </w:tc>
        <w:tc>
          <w:tcPr>
            <w:tcW w:type="dxa" w:w="20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RHS Source</w:t>
            </w:r>
          </w:p>
        </w:tc>
        <w:tc>
          <w:tcPr>
            <w:tcW w:type="dxa" w:w="18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Format</w:t>
            </w:r>
          </w:p>
        </w:tc>
        <w:tc>
          <w:tcPr>
            <w:tcW w:type="dxa" w:w="13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Validation</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Incumbent TNA</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dataNav.netAssets (Incumbent)</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#,##0.00</w:t>
            </w:r>
          </w:p>
        </w:tc>
        <w:tc>
          <w:tcPr>
            <w:tcW w:type="dxa" w:w="13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w:t>
            </w:r>
          </w:p>
        </w:tc>
      </w:tr>
      <w:tr>
        <w:tc>
          <w:tcPr>
            <w:tcW w:type="dxa" w:w="22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BNY TNA</w:t>
            </w:r>
          </w:p>
        </w:tc>
        <w:tc>
          <w:tcPr>
            <w:tcW w:type="dxa" w:w="20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w:t>
            </w:r>
          </w:p>
        </w:tc>
        <w:tc>
          <w:tcPr>
            <w:tcW w:type="dxa" w:w="20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dataNav.netAssets (BNY)</w:t>
            </w:r>
          </w:p>
        </w:tc>
        <w:tc>
          <w:tcPr>
            <w:tcW w:type="dxa" w:w="18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#,##0.00</w:t>
            </w:r>
          </w:p>
        </w:tc>
        <w:tc>
          <w:tcPr>
            <w:tcW w:type="dxa" w:w="136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TNA Difference</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Calculated</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Calculated</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(#,##0.00)</w:t>
            </w:r>
          </w:p>
        </w:tc>
        <w:tc>
          <w:tcPr>
            <w:tcW w:type="dxa" w:w="13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Traffic light</w:t>
            </w:r>
          </w:p>
        </w:tc>
      </w:tr>
    </w:tbl>
    <w:p>
      <w:pPr>
        <w:spacing w:after="120" w:before="100"/>
      </w:pPr>
      <w:r>
        <w:rPr>
          <w:rFonts w:ascii="Arial" w:cs="Arial" w:eastAsia="Arial" w:hAnsi="Arial"/>
          <w:b/>
          <w:bCs/>
          <w:sz w:val="22"/>
          <w:szCs w:val="22"/>
        </w:rPr>
        <w:t xml:space="preserve">Cross-Check B: Ledger INCST Compare Check</w:t>
      </w:r>
    </w:p>
    <w:p>
      <w:pPr>
        <w:spacing w:after="120" w:before="0"/>
      </w:pPr>
      <w:r>
        <w:rPr>
          <w:rFonts w:ascii="Arial" w:cs="Arial" w:eastAsia="Arial" w:hAnsi="Arial"/>
          <w:sz w:val="22"/>
          <w:szCs w:val="22"/>
        </w:rPr>
        <w:t xml:space="preserve">Validates that the income statement ledger (GL accounts NOT starting with 1 or 2) ties to the balance sheet remainder. This implements validation rule 1.2 (Ledger BS to INCST).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1800"/>
        <w:gridCol w:w="1360"/>
      </w:tblGrid>
      <w:tr>
        <w:tc>
          <w:tcPr>
            <w:tcW w:type="dxa" w:w="22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Column</w:t>
            </w:r>
          </w:p>
        </w:tc>
        <w:tc>
          <w:tcPr>
            <w:tcW w:type="dxa" w:w="20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LHS Source</w:t>
            </w:r>
          </w:p>
        </w:tc>
        <w:tc>
          <w:tcPr>
            <w:tcW w:type="dxa" w:w="20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RHS Source</w:t>
            </w:r>
          </w:p>
        </w:tc>
        <w:tc>
          <w:tcPr>
            <w:tcW w:type="dxa" w:w="18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Format</w:t>
            </w:r>
          </w:p>
        </w:tc>
        <w:tc>
          <w:tcPr>
            <w:tcW w:type="dxa" w:w="13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Validation</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Incumbent TNA</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dataLedger (INCST filter)</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#,##0.00</w:t>
            </w:r>
          </w:p>
        </w:tc>
        <w:tc>
          <w:tcPr>
            <w:tcW w:type="dxa" w:w="13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w:t>
            </w:r>
          </w:p>
        </w:tc>
      </w:tr>
      <w:tr>
        <w:tc>
          <w:tcPr>
            <w:tcW w:type="dxa" w:w="22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BNY TNA</w:t>
            </w:r>
          </w:p>
        </w:tc>
        <w:tc>
          <w:tcPr>
            <w:tcW w:type="dxa" w:w="20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w:t>
            </w:r>
          </w:p>
        </w:tc>
        <w:tc>
          <w:tcPr>
            <w:tcW w:type="dxa" w:w="20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dataLedger (BS filter)</w:t>
            </w:r>
          </w:p>
        </w:tc>
        <w:tc>
          <w:tcPr>
            <w:tcW w:type="dxa" w:w="18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#,##0.00</w:t>
            </w:r>
          </w:p>
        </w:tc>
        <w:tc>
          <w:tcPr>
            <w:tcW w:type="dxa" w:w="136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TNA Difference</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Calculated</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Calculated</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(#,##0.00)</w:t>
            </w:r>
          </w:p>
        </w:tc>
        <w:tc>
          <w:tcPr>
            <w:tcW w:type="dxa" w:w="13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Traffic light</w:t>
            </w:r>
          </w:p>
        </w:tc>
      </w:tr>
    </w:tbl>
    <w:p>
      <w:pPr>
        <w:pStyle w:val="Heading3"/>
      </w:pPr>
      <w:r>
        <w:t xml:space="preserve">3.4.4 AI Commentary Panel</w:t>
      </w:r>
    </w:p>
    <w:p>
      <w:pPr>
        <w:spacing w:after="120" w:before="0"/>
      </w:pPr>
      <w:r>
        <w:rPr>
          <w:rFonts w:ascii="Arial" w:cs="Arial" w:eastAsia="Arial" w:hAnsi="Arial"/>
          <w:sz w:val="22"/>
          <w:szCs w:val="22"/>
        </w:rPr>
        <w:t xml:space="preserve">A collapsible right-hand panel (350px default width, resizable) that displays AI agent commentary for the selected fund row:</w:t>
      </w:r>
    </w:p>
    <w:p>
      <w:pPr>
        <w:pStyle w:val="ListParagraph"/>
        <w:numPr>
          <w:ilvl w:val="0"/>
          <w:numId w:val="2"/>
        </w:numPr>
        <w:spacing w:after="60"/>
      </w:pPr>
      <w:r>
        <w:rPr>
          <w:rFonts w:ascii="Arial" w:cs="Arial" w:eastAsia="Arial" w:hAnsi="Arial"/>
          <w:sz w:val="22"/>
          <w:szCs w:val="22"/>
        </w:rPr>
        <w:t xml:space="preserve">Trend Summary: AI-generated narrative summarizing break trends across recent valuation dates (e.g., "Price breaks on bond securities has caused unrealized variance on the level 3 position recon, leading to ledger differences in unrealized on the level 2 ledger recon, leading to the net asset variance on the level 1 NAV recon.")</w:t>
      </w:r>
    </w:p>
    <w:p>
      <w:pPr>
        <w:pStyle w:val="ListParagraph"/>
        <w:numPr>
          <w:ilvl w:val="0"/>
          <w:numId w:val="2"/>
        </w:numPr>
        <w:spacing w:after="60"/>
      </w:pPr>
      <w:r>
        <w:rPr>
          <w:rFonts w:ascii="Arial" w:cs="Arial" w:eastAsia="Arial" w:hAnsi="Arial"/>
          <w:sz w:val="22"/>
          <w:szCs w:val="22"/>
        </w:rPr>
        <w:t xml:space="preserve">Pattern Recognition: Links to similar breaks in other funds within the same event</w:t>
      </w:r>
    </w:p>
    <w:p>
      <w:pPr>
        <w:pStyle w:val="ListParagraph"/>
        <w:numPr>
          <w:ilvl w:val="0"/>
          <w:numId w:val="2"/>
        </w:numPr>
        <w:spacing w:after="60"/>
      </w:pPr>
      <w:r>
        <w:rPr>
          <w:rFonts w:ascii="Arial" w:cs="Arial" w:eastAsia="Arial" w:hAnsi="Arial"/>
          <w:sz w:val="22"/>
          <w:szCs w:val="22"/>
        </w:rPr>
        <w:t xml:space="preserve">Confidence Score: Visual gauge with percentage</w:t>
      </w:r>
    </w:p>
    <w:p>
      <w:pPr>
        <w:pStyle w:val="ListParagraph"/>
        <w:numPr>
          <w:ilvl w:val="0"/>
          <w:numId w:val="2"/>
        </w:numPr>
        <w:spacing w:after="60"/>
      </w:pPr>
      <w:r>
        <w:rPr>
          <w:rFonts w:ascii="Arial" w:cs="Arial" w:eastAsia="Arial" w:hAnsi="Arial"/>
          <w:sz w:val="22"/>
          <w:szCs w:val="22"/>
        </w:rPr>
        <w:t xml:space="preserve">Recommended Next Step: Suggested drill-down path (e.g., "Investigate Accrued Income in Trial Balance")</w:t>
      </w:r>
    </w:p>
    <w:p>
      <w:pPr>
        <w:pStyle w:val="Heading2"/>
      </w:pPr>
      <w:r>
        <w:t xml:space="preserve">3.5 User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960"/>
      </w:tblGrid>
      <w:tr>
        <w:tc>
          <w:tcPr>
            <w:tcW w:type="dxa" w:w="28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Action</w:t>
            </w:r>
          </w:p>
        </w:tc>
        <w:tc>
          <w:tcPr>
            <w:tcW w:type="dxa" w:w="36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Behavior</w:t>
            </w:r>
          </w:p>
        </w:tc>
        <w:tc>
          <w:tcPr>
            <w:tcW w:type="dxa" w:w="29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Navigation</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Click fund row</w:t>
            </w:r>
          </w:p>
        </w:tc>
        <w:tc>
          <w:tcPr>
            <w:tcW w:type="dxa" w:w="3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Selects row, updates AI panel context</w:t>
            </w:r>
          </w:p>
        </w:tc>
        <w:tc>
          <w:tcPr>
            <w:tcW w:type="dxa" w:w="29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Stays on NAV Dashboard</w:t>
            </w:r>
          </w:p>
        </w:tc>
      </w:tr>
      <w:tr>
        <w:tc>
          <w:tcPr>
            <w:tcW w:type="dxa" w:w="28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Expand row (chevron)</w:t>
            </w:r>
          </w:p>
        </w:tc>
        <w:tc>
          <w:tcPr>
            <w:tcW w:type="dxa" w:w="36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Shows inline Ledger BS and INCST cross-check tables</w:t>
            </w:r>
          </w:p>
        </w:tc>
        <w:tc>
          <w:tcPr>
            <w:tcW w:type="dxa" w:w="296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Stays on NAV Dashboard</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Double-click fund row</w:t>
            </w:r>
          </w:p>
        </w:tc>
        <w:tc>
          <w:tcPr>
            <w:tcW w:type="dxa" w:w="3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Opens Trial Balance for selected fund</w:t>
            </w:r>
          </w:p>
        </w:tc>
        <w:tc>
          <w:tcPr>
            <w:tcW w:type="dxa" w:w="29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 /events/{eventId}/funds/{account}/trial-balance?valuationDt={date}</w:t>
            </w:r>
          </w:p>
        </w:tc>
      </w:tr>
      <w:tr>
        <w:tc>
          <w:tcPr>
            <w:tcW w:type="dxa" w:w="28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Click break status icon</w:t>
            </w:r>
          </w:p>
        </w:tc>
        <w:tc>
          <w:tcPr>
            <w:tcW w:type="dxa" w:w="36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Opens AI Analysis slide-out panel with full root cause detail</w:t>
            </w:r>
          </w:p>
        </w:tc>
        <w:tc>
          <w:tcPr>
            <w:tcW w:type="dxa" w:w="296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Slide-out panel overlay</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Right-click → Export</w:t>
            </w:r>
          </w:p>
        </w:tc>
        <w:tc>
          <w:tcPr>
            <w:tcW w:type="dxa" w:w="3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Exports NAV Compare grid to Excel with all visible columns</w:t>
            </w:r>
          </w:p>
        </w:tc>
        <w:tc>
          <w:tcPr>
            <w:tcW w:type="dxa" w:w="29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Download initiates</w:t>
            </w:r>
          </w:p>
        </w:tc>
      </w:tr>
      <w:tr>
        <w:tc>
          <w:tcPr>
            <w:tcW w:type="dxa" w:w="28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Change Valuation Date</w:t>
            </w:r>
          </w:p>
        </w:tc>
        <w:tc>
          <w:tcPr>
            <w:tcW w:type="dxa" w:w="36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Refreshes all grid data for new date. Preserves fund selection if available.</w:t>
            </w:r>
          </w:p>
        </w:tc>
        <w:tc>
          <w:tcPr>
            <w:tcW w:type="dxa" w:w="296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Stays on page, data refreshes</w:t>
            </w:r>
          </w:p>
        </w:tc>
      </w:tr>
    </w:tbl>
    <w:p>
      <w:pPr>
        <w:pStyle w:val="Heading2"/>
      </w:pPr>
      <w:r>
        <w:t xml:space="preserve">3.6 Data Requirements</w:t>
      </w:r>
    </w:p>
    <w:p>
      <w:pPr>
        <w:spacing w:after="120" w:before="0"/>
      </w:pPr>
      <w:r>
        <w:rPr>
          <w:rFonts w:ascii="Arial" w:cs="Arial" w:eastAsia="Arial" w:hAnsi="Arial"/>
          <w:sz w:val="22"/>
          <w:szCs w:val="22"/>
        </w:rPr>
        <w:t xml:space="preserve">The NAV Dashboard executes the following data validation queries derived from the validation rules specification:</w:t>
      </w:r>
    </w:p>
    <w:p>
      <w:pPr>
        <w:spacing w:after="120" w:before="0"/>
      </w:pPr>
      <w:r>
        <w:rPr>
          <w:rFonts w:ascii="Arial" w:cs="Arial" w:eastAsia="Arial" w:hAnsi="Arial"/>
          <w:b/>
          <w:bCs/>
          <w:sz w:val="22"/>
          <w:szCs w:val="22"/>
        </w:rPr>
        <w:t xml:space="preserve">NAV Compare (TF) – Primary Grid:</w:t>
      </w:r>
    </w:p>
    <w:p>
      <w:pPr>
        <w:pStyle w:val="ListParagraph"/>
        <w:numPr>
          <w:ilvl w:val="0"/>
          <w:numId w:val="2"/>
        </w:numPr>
        <w:spacing w:after="60"/>
      </w:pPr>
      <w:r>
        <w:rPr>
          <w:rFonts w:ascii="Arial" w:cs="Arial" w:eastAsia="Arial" w:hAnsi="Arial"/>
          <w:sz w:val="22"/>
          <w:szCs w:val="22"/>
        </w:rPr>
        <w:t xml:space="preserve">LHS: SELECT valuationDt, account, class, netAssets FROM dataNav WHERE isPrimaryBasis = 'Y' AND userBank = {incumbent}</w:t>
      </w:r>
    </w:p>
    <w:p>
      <w:pPr>
        <w:pStyle w:val="ListParagraph"/>
        <w:numPr>
          <w:ilvl w:val="0"/>
          <w:numId w:val="2"/>
        </w:numPr>
        <w:spacing w:after="60"/>
      </w:pPr>
      <w:r>
        <w:rPr>
          <w:rFonts w:ascii="Arial" w:cs="Arial" w:eastAsia="Arial" w:hAnsi="Arial"/>
          <w:sz w:val="22"/>
          <w:szCs w:val="22"/>
        </w:rPr>
        <w:t xml:space="preserve">RHS: SELECT valuationDt, account, class, netAssets FROM dataNav WHERE isPrimaryBasis = 'Y' AND userBank = 'BNY'</w:t>
      </w:r>
    </w:p>
    <w:p>
      <w:pPr>
        <w:pStyle w:val="ListParagraph"/>
        <w:numPr>
          <w:ilvl w:val="0"/>
          <w:numId w:val="2"/>
        </w:numPr>
        <w:spacing w:after="60"/>
      </w:pPr>
      <w:r>
        <w:rPr>
          <w:rFonts w:ascii="Arial" w:cs="Arial" w:eastAsia="Arial" w:hAnsi="Arial"/>
          <w:sz w:val="22"/>
          <w:szCs w:val="22"/>
        </w:rPr>
        <w:t xml:space="preserve">Join: ON valuationDt, account, class</w:t>
      </w:r>
    </w:p>
    <w:p>
      <w:pPr>
        <w:pStyle w:val="ListParagraph"/>
        <w:numPr>
          <w:ilvl w:val="0"/>
          <w:numId w:val="2"/>
        </w:numPr>
        <w:spacing w:after="60"/>
      </w:pPr>
      <w:r>
        <w:rPr>
          <w:rFonts w:ascii="Arial" w:cs="Arial" w:eastAsia="Arial" w:hAnsi="Arial"/>
          <w:sz w:val="22"/>
          <w:szCs w:val="22"/>
        </w:rPr>
        <w:t xml:space="preserve">Aggregate: SUM by account (aggregate of all classes) for grid display</w:t>
      </w:r>
    </w:p>
    <w:p>
      <w:pPr>
        <w:spacing w:after="120" w:before="0"/>
      </w:pPr>
      <w:r>
        <w:rPr>
          <w:rFonts w:ascii="Arial" w:cs="Arial" w:eastAsia="Arial" w:hAnsi="Arial"/>
          <w:b/>
          <w:bCs/>
          <w:sz w:val="22"/>
          <w:szCs w:val="22"/>
        </w:rPr>
        <w:t xml:space="preserve">Ledger BS Compare Check (Expandable):</w:t>
      </w:r>
    </w:p>
    <w:p>
      <w:pPr>
        <w:pStyle w:val="ListParagraph"/>
        <w:numPr>
          <w:ilvl w:val="0"/>
          <w:numId w:val="2"/>
        </w:numPr>
        <w:spacing w:after="60"/>
      </w:pPr>
      <w:r>
        <w:rPr>
          <w:rFonts w:ascii="Arial" w:cs="Arial" w:eastAsia="Arial" w:hAnsi="Arial"/>
          <w:sz w:val="22"/>
          <w:szCs w:val="22"/>
        </w:rPr>
        <w:t xml:space="preserve">LHS: SELECT SUM(endingBalance) FROM dataLedger WHERE isPrimaryBasis = 'Y' AND eagleClass = 'TF' AND (LEFT(eagleLedgerAcct,1) = '1' OR LEFT(eagleLedgerAcct,1) = '2')</w:t>
      </w:r>
    </w:p>
    <w:p>
      <w:pPr>
        <w:pStyle w:val="ListParagraph"/>
        <w:numPr>
          <w:ilvl w:val="0"/>
          <w:numId w:val="2"/>
        </w:numPr>
        <w:spacing w:after="60"/>
      </w:pPr>
      <w:r>
        <w:rPr>
          <w:rFonts w:ascii="Arial" w:cs="Arial" w:eastAsia="Arial" w:hAnsi="Arial"/>
          <w:sz w:val="22"/>
          <w:szCs w:val="22"/>
        </w:rPr>
        <w:t xml:space="preserve">RHS: dataNav.netAssets for same account/date</w:t>
      </w:r>
    </w:p>
    <w:p>
      <w:pPr>
        <w:spacing w:after="120" w:before="0"/>
      </w:pPr>
      <w:r>
        <w:rPr>
          <w:rFonts w:ascii="Arial" w:cs="Arial" w:eastAsia="Arial" w:hAnsi="Arial"/>
          <w:b/>
          <w:bCs/>
          <w:sz w:val="22"/>
          <w:szCs w:val="22"/>
        </w:rPr>
        <w:t xml:space="preserve">Ledger INCST Compare Check (Expandable):</w:t>
      </w:r>
    </w:p>
    <w:p>
      <w:pPr>
        <w:pStyle w:val="ListParagraph"/>
        <w:numPr>
          <w:ilvl w:val="0"/>
          <w:numId w:val="2"/>
        </w:numPr>
        <w:spacing w:after="60"/>
      </w:pPr>
      <w:r>
        <w:rPr>
          <w:rFonts w:ascii="Arial" w:cs="Arial" w:eastAsia="Arial" w:hAnsi="Arial"/>
          <w:sz w:val="22"/>
          <w:szCs w:val="22"/>
        </w:rPr>
        <w:t xml:space="preserve">LHS: SELECT SUM(endingBalance) FROM dataLedger WHERE isPrimaryBasis = 'Y' AND eagleClass = 'TF' AND LEFT(eagleLedgerAcct,1) NOT IN ('1','2')</w:t>
      </w:r>
    </w:p>
    <w:p>
      <w:pPr>
        <w:pStyle w:val="ListParagraph"/>
        <w:numPr>
          <w:ilvl w:val="0"/>
          <w:numId w:val="2"/>
        </w:numPr>
        <w:spacing w:after="60"/>
      </w:pPr>
      <w:r>
        <w:rPr>
          <w:rFonts w:ascii="Arial" w:cs="Arial" w:eastAsia="Arial" w:hAnsi="Arial"/>
          <w:sz w:val="22"/>
          <w:szCs w:val="22"/>
        </w:rPr>
        <w:t xml:space="preserve">RHS: Derived from BS total minus NAV, per rule 1.2</w:t>
      </w:r>
    </w:p>
    <w:p>
      <w:r>
        <w:br w:type="page"/>
      </w:r>
    </w:p>
    <w:p>
      <w:pPr>
        <w:pStyle w:val="Heading1"/>
      </w:pPr>
      <w:r>
        <w:t xml:space="preserve">4. Screen 3: Trial Balance (Ledger Drill-Down)</w:t>
      </w:r>
    </w:p>
    <w:p>
      <w:pPr>
        <w:pStyle w:val="Heading2"/>
      </w:pPr>
      <w:r>
        <w:t xml:space="preserve">4.1 Purpose</w:t>
      </w:r>
    </w:p>
    <w:p>
      <w:pPr>
        <w:spacing w:after="120" w:before="0"/>
      </w:pPr>
      <w:r>
        <w:rPr>
          <w:rFonts w:ascii="Arial" w:cs="Arial" w:eastAsia="Arial" w:hAnsi="Arial"/>
          <w:sz w:val="22"/>
          <w:szCs w:val="22"/>
        </w:rPr>
        <w:t xml:space="preserve">The Trial Balance screen decomposes a fund's NAV variance into its constituent ledger account categories. When a user drills into a fund showing a $17,837 NAV break, this screen shows the breakout of ledger categories that make up that amount, including any validation breaks at the ledger level. This is the L1 reconciliation layer that answers: "Which accounting categories drive this fund's NAV variance?"</w:t>
      </w:r>
    </w:p>
    <w:p>
      <w:pPr>
        <w:pStyle w:val="Heading2"/>
      </w:pPr>
      <w:r>
        <w:t xml:space="preserve">4.2 URL &amp; Routing</w:t>
      </w:r>
    </w:p>
    <w:p>
      <w:pPr>
        <w:spacing w:after="120" w:before="0"/>
      </w:pPr>
      <w:r>
        <w:rPr>
          <w:rFonts w:ascii="Courier New" w:cs="Courier New" w:eastAsia="Courier New" w:hAnsi="Courier New"/>
          <w:sz w:val="20"/>
          <w:szCs w:val="20"/>
        </w:rPr>
        <w:t xml:space="preserve">/events/{eventId}/funds/{account}/trial-balance?valuationDt={date}</w:t>
      </w:r>
    </w:p>
    <w:p>
      <w:pPr>
        <w:pStyle w:val="Heading2"/>
      </w:pPr>
      <w:r>
        <w:t xml:space="preserve">4.3 Breadcrumb</w:t>
      </w:r>
    </w:p>
    <w:p>
      <w:pPr>
        <w:spacing w:after="120" w:before="0"/>
      </w:pPr>
      <w:r>
        <w:rPr>
          <w:rFonts w:ascii="Arial" w:cs="Arial" w:eastAsia="Arial" w:hAnsi="Arial"/>
          <w:color w:val="2C5F8A"/>
          <w:sz w:val="22"/>
          <w:szCs w:val="22"/>
        </w:rPr>
        <w:t xml:space="preserve">Events &gt; {Event Name} &gt; {Fund Name} &gt; Trial Balance</w:t>
      </w:r>
    </w:p>
    <w:p>
      <w:pPr>
        <w:pStyle w:val="Heading2"/>
      </w:pPr>
      <w:r>
        <w:t xml:space="preserve">4.4 Context Header</w:t>
      </w:r>
    </w:p>
    <w:p>
      <w:pPr>
        <w:spacing w:after="120" w:before="0"/>
      </w:pPr>
      <w:r>
        <w:rPr>
          <w:rFonts w:ascii="Arial" w:cs="Arial" w:eastAsia="Arial" w:hAnsi="Arial"/>
          <w:sz w:val="22"/>
          <w:szCs w:val="22"/>
        </w:rPr>
        <w:t xml:space="preserve">A fixed context bar showing the inherited filter state from the parent NAV Dashboard:</w:t>
      </w:r>
    </w:p>
    <w:p>
      <w:pPr>
        <w:pStyle w:val="ListParagraph"/>
        <w:numPr>
          <w:ilvl w:val="0"/>
          <w:numId w:val="2"/>
        </w:numPr>
        <w:spacing w:after="60"/>
      </w:pPr>
      <w:r>
        <w:rPr>
          <w:rFonts w:ascii="Arial" w:cs="Arial" w:eastAsia="Arial" w:hAnsi="Arial"/>
          <w:sz w:val="22"/>
          <w:szCs w:val="22"/>
        </w:rPr>
        <w:t xml:space="preserve">Fund: {accountName} ({account})</w:t>
      </w:r>
    </w:p>
    <w:p>
      <w:pPr>
        <w:pStyle w:val="ListParagraph"/>
        <w:numPr>
          <w:ilvl w:val="0"/>
          <w:numId w:val="2"/>
        </w:numPr>
        <w:spacing w:after="60"/>
      </w:pPr>
      <w:r>
        <w:rPr>
          <w:rFonts w:ascii="Arial" w:cs="Arial" w:eastAsia="Arial" w:hAnsi="Arial"/>
          <w:sz w:val="22"/>
          <w:szCs w:val="22"/>
        </w:rPr>
        <w:t xml:space="preserve">Valuation Date: {valuationDt}</w:t>
      </w:r>
    </w:p>
    <w:p>
      <w:pPr>
        <w:pStyle w:val="ListParagraph"/>
        <w:numPr>
          <w:ilvl w:val="0"/>
          <w:numId w:val="2"/>
        </w:numPr>
        <w:spacing w:after="60"/>
      </w:pPr>
      <w:r>
        <w:rPr>
          <w:rFonts w:ascii="Arial" w:cs="Arial" w:eastAsia="Arial" w:hAnsi="Arial"/>
          <w:sz w:val="22"/>
          <w:szCs w:val="22"/>
        </w:rPr>
        <w:t xml:space="preserve">NAV Variance: ${TNA Difference} ({TNA Difference BP} bp) with traffic light indicator</w:t>
      </w:r>
    </w:p>
    <w:p>
      <w:pPr>
        <w:pStyle w:val="ListParagraph"/>
        <w:numPr>
          <w:ilvl w:val="0"/>
          <w:numId w:val="2"/>
        </w:numPr>
        <w:spacing w:after="60"/>
      </w:pPr>
      <w:r>
        <w:rPr>
          <w:rFonts w:ascii="Arial" w:cs="Arial" w:eastAsia="Arial" w:hAnsi="Arial"/>
          <w:sz w:val="22"/>
          <w:szCs w:val="22"/>
        </w:rPr>
        <w:t xml:space="preserve">AI Status: Analyzing / Complete ({confidence}%) / Needs Review</w:t>
      </w:r>
    </w:p>
    <w:p>
      <w:pPr>
        <w:pStyle w:val="Heading2"/>
      </w:pPr>
      <w:r>
        <w:t xml:space="preserve">4.5 Layout Structure</w:t>
      </w:r>
    </w:p>
    <w:p>
      <w:pPr>
        <w:pStyle w:val="Heading3"/>
      </w:pPr>
      <w:r>
        <w:t xml:space="preserve">4.5.1 Ledger BS Compare Grid (Primary Table)</w:t>
      </w:r>
    </w:p>
    <w:p>
      <w:pPr>
        <w:spacing w:after="120" w:before="0"/>
      </w:pPr>
      <w:r>
        <w:rPr>
          <w:rFonts w:ascii="Arial" w:cs="Arial" w:eastAsia="Arial" w:hAnsi="Arial"/>
          <w:sz w:val="22"/>
          <w:szCs w:val="22"/>
        </w:rPr>
        <w:t xml:space="preserve">This table implements the Ledger-to-Subledger validation (Section 1.5 of Data Validation Rules) displayed as a categorized trial balance. Each row represents a GL category with its incumbent vs. BNY balances, and the variance that contributes to the overall NAV break.</w:t>
      </w:r>
    </w:p>
    <w:p>
      <w:pPr>
        <w:spacing w:after="120" w:before="120"/>
      </w:pPr>
      <w:r>
        <w:rPr>
          <w:rFonts w:ascii="Arial" w:cs="Arial" w:eastAsia="Arial" w:hAnsi="Arial"/>
          <w:b/>
          <w:bCs/>
          <w:sz w:val="22"/>
          <w:szCs w:val="22"/>
        </w:rPr>
        <w:t xml:space="preserve">Column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200"/>
        <w:gridCol w:w="1800"/>
        <w:gridCol w:w="2960"/>
      </w:tblGrid>
      <w:tr>
        <w:tc>
          <w:tcPr>
            <w:tcW w:type="dxa" w:w="18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Column</w:t>
            </w:r>
          </w:p>
        </w:tc>
        <w:tc>
          <w:tcPr>
            <w:tcW w:type="dxa" w:w="16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 Source</w:t>
            </w:r>
          </w:p>
        </w:tc>
        <w:tc>
          <w:tcPr>
            <w:tcW w:type="dxa" w:w="12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Data Type</w:t>
            </w:r>
          </w:p>
        </w:tc>
        <w:tc>
          <w:tcPr>
            <w:tcW w:type="dxa" w:w="18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Format</w:t>
            </w:r>
          </w:p>
        </w:tc>
        <w:tc>
          <w:tcPr>
            <w:tcW w:type="dxa" w:w="29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Notes</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Valuation Dt</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dataLedger.valuationDt</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Date</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YYYY-MM-DD</w:t>
            </w:r>
          </w:p>
        </w:tc>
        <w:tc>
          <w:tcPr>
            <w:tcW w:type="dxa" w:w="29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Inherited from NAV Dashboard context</w:t>
            </w:r>
          </w:p>
        </w:tc>
      </w:tr>
      <w:tr>
        <w:tc>
          <w:tcPr>
            <w:tcW w:type="dxa" w:w="18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Account</w:t>
            </w:r>
          </w:p>
        </w:tc>
        <w:tc>
          <w:tcPr>
            <w:tcW w:type="dxa" w:w="16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dataLedger.account</w:t>
            </w:r>
          </w:p>
        </w:tc>
        <w:tc>
          <w:tcPr>
            <w:tcW w:type="dxa" w:w="12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String</w:t>
            </w:r>
          </w:p>
        </w:tc>
        <w:tc>
          <w:tcPr>
            <w:tcW w:type="dxa" w:w="18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Left-aligned</w:t>
            </w:r>
          </w:p>
        </w:tc>
        <w:tc>
          <w:tcPr>
            <w:tcW w:type="dxa" w:w="296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Fund portfolio account ID</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Category</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Derived from eagleLedgerAcct</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String</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Left-aligned</w:t>
            </w:r>
          </w:p>
        </w:tc>
        <w:tc>
          <w:tcPr>
            <w:tcW w:type="dxa" w:w="29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GL category label: Cash, Investment Cost, Investment Urgl, Futures Margin, Dividend RecPay, Interest RecPay, Expense RecPay, etc.</w:t>
            </w:r>
          </w:p>
        </w:tc>
      </w:tr>
      <w:tr>
        <w:tc>
          <w:tcPr>
            <w:tcW w:type="dxa" w:w="18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Incumbent Balance</w:t>
            </w:r>
          </w:p>
        </w:tc>
        <w:tc>
          <w:tcPr>
            <w:tcW w:type="dxa" w:w="16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dataLedger.endingBalance (Incumbent)</w:t>
            </w:r>
          </w:p>
        </w:tc>
        <w:tc>
          <w:tcPr>
            <w:tcW w:type="dxa" w:w="12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Decimal(18,2)</w:t>
            </w:r>
          </w:p>
        </w:tc>
        <w:tc>
          <w:tcPr>
            <w:tcW w:type="dxa" w:w="18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#,##0.00</w:t>
            </w:r>
          </w:p>
        </w:tc>
        <w:tc>
          <w:tcPr>
            <w:tcW w:type="dxa" w:w="296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Sum of GL accounts in category from incumbent source</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BNY Balance</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dataLedger.endingBalance (BNY)</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Decimal(18,2)</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#,##0.00</w:t>
            </w:r>
          </w:p>
        </w:tc>
        <w:tc>
          <w:tcPr>
            <w:tcW w:type="dxa" w:w="29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Sum of GL accounts in category from BNY source</w:t>
            </w:r>
          </w:p>
        </w:tc>
      </w:tr>
      <w:tr>
        <w:tc>
          <w:tcPr>
            <w:tcW w:type="dxa" w:w="18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Balance Diff</w:t>
            </w:r>
          </w:p>
        </w:tc>
        <w:tc>
          <w:tcPr>
            <w:tcW w:type="dxa" w:w="16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Calculated</w:t>
            </w:r>
          </w:p>
        </w:tc>
        <w:tc>
          <w:tcPr>
            <w:tcW w:type="dxa" w:w="12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Decimal(18,2)</w:t>
            </w:r>
          </w:p>
        </w:tc>
        <w:tc>
          <w:tcPr>
            <w:tcW w:type="dxa" w:w="18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(#,##0.00)</w:t>
            </w:r>
          </w:p>
        </w:tc>
        <w:tc>
          <w:tcPr>
            <w:tcW w:type="dxa" w:w="296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Incumbent Balance - BNY Balance</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Balance Diff BP</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Calculated</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Decimal(10,4)</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#,##0.00 bp</w:t>
            </w:r>
          </w:p>
        </w:tc>
        <w:tc>
          <w:tcPr>
            <w:tcW w:type="dxa" w:w="29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Difference as basis points of fund TNA</w:t>
            </w:r>
          </w:p>
        </w:tc>
      </w:tr>
      <w:tr>
        <w:tc>
          <w:tcPr>
            <w:tcW w:type="dxa" w:w="18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Validation</w:t>
            </w:r>
          </w:p>
        </w:tc>
        <w:tc>
          <w:tcPr>
            <w:tcW w:type="dxa" w:w="16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Computed</w:t>
            </w:r>
          </w:p>
        </w:tc>
        <w:tc>
          <w:tcPr>
            <w:tcW w:type="dxa" w:w="12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Enum</w:t>
            </w:r>
          </w:p>
        </w:tc>
        <w:tc>
          <w:tcPr>
            <w:tcW w:type="dxa" w:w="18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Traffic light icon</w:t>
            </w:r>
          </w:p>
        </w:tc>
        <w:tc>
          <w:tcPr>
            <w:tcW w:type="dxa" w:w="296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Green if |diff| &lt; threshold, else Red</w:t>
            </w:r>
          </w:p>
        </w:tc>
      </w:tr>
    </w:tbl>
    <w:p>
      <w:pPr>
        <w:spacing w:after="120" w:before="120"/>
      </w:pPr>
      <w:r>
        <w:rPr>
          <w:rFonts w:ascii="Arial" w:cs="Arial" w:eastAsia="Arial" w:hAnsi="Arial"/>
          <w:b/>
          <w:bCs/>
          <w:sz w:val="22"/>
          <w:szCs w:val="22"/>
        </w:rPr>
        <w:t xml:space="preserve">Expected Category Rows (derived from Section 2 of Data Validation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c>
          <w:tcPr>
            <w:tcW w:type="dxa" w:w="24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Category</w:t>
            </w:r>
          </w:p>
        </w:tc>
        <w:tc>
          <w:tcPr>
            <w:tcW w:type="dxa" w:w="22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GL Account Pattern</w:t>
            </w:r>
          </w:p>
        </w:tc>
        <w:tc>
          <w:tcPr>
            <w:tcW w:type="dxa" w:w="47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Derived SubLedger Source</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Cash</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Cash GL accounts</w:t>
            </w:r>
          </w:p>
        </w:tc>
        <w:tc>
          <w:tcPr>
            <w:tcW w:type="dxa" w:w="47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Direct ledger load (ledgerLoad = 1)</w:t>
            </w:r>
          </w:p>
        </w:tc>
      </w:tr>
      <w:tr>
        <w:tc>
          <w:tcPr>
            <w:tcW w:type="dxa" w:w="24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Investment Cost</w:t>
            </w:r>
          </w:p>
        </w:tc>
        <w:tc>
          <w:tcPr>
            <w:tcW w:type="dxa" w:w="22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eagleCostLedgerAcct</w:t>
            </w:r>
          </w:p>
        </w:tc>
        <w:tc>
          <w:tcPr>
            <w:tcW w:type="dxa" w:w="476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posBookValueBase from dataSubLedgerPosition (Security Cost rule)</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Investment Urgl</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1011000101 (BS)</w:t>
            </w:r>
          </w:p>
        </w:tc>
        <w:tc>
          <w:tcPr>
            <w:tcW w:type="dxa" w:w="47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posMarketValueBase - posBookValueBase (Security URGL BS rule)</w:t>
            </w:r>
          </w:p>
        </w:tc>
      </w:tr>
      <w:tr>
        <w:tc>
          <w:tcPr>
            <w:tcW w:type="dxa" w:w="24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Futures Margin</w:t>
            </w:r>
          </w:p>
        </w:tc>
        <w:tc>
          <w:tcPr>
            <w:tcW w:type="dxa" w:w="22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Futures GL accounts</w:t>
            </w:r>
          </w:p>
        </w:tc>
        <w:tc>
          <w:tcPr>
            <w:tcW w:type="dxa" w:w="476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ltdVariationMarginBase (Future URGL INCST rule)</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Dividend RecPay</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Dividend receivable GL</w:t>
            </w:r>
          </w:p>
        </w:tc>
        <w:tc>
          <w:tcPr>
            <w:tcW w:type="dxa" w:w="47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Unsettled transaction amounts</w:t>
            </w:r>
          </w:p>
        </w:tc>
      </w:tr>
      <w:tr>
        <w:tc>
          <w:tcPr>
            <w:tcW w:type="dxa" w:w="24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Interest RecPay</w:t>
            </w:r>
          </w:p>
        </w:tc>
        <w:tc>
          <w:tcPr>
            <w:tcW w:type="dxa" w:w="22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eagleIntLedgerAcct</w:t>
            </w:r>
          </w:p>
        </w:tc>
        <w:tc>
          <w:tcPr>
            <w:tcW w:type="dxa" w:w="476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posIncomeBase from dataSubLedgerPosition (Security Interest rule)</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Expense RecPay</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Expense payable GL</w:t>
            </w:r>
          </w:p>
        </w:tc>
        <w:tc>
          <w:tcPr>
            <w:tcW w:type="dxa" w:w="47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Unsettled expense transaction amounts</w:t>
            </w:r>
          </w:p>
        </w:tc>
      </w:tr>
      <w:tr>
        <w:tc>
          <w:tcPr>
            <w:tcW w:type="dxa" w:w="24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Capital Subs</w:t>
            </w:r>
          </w:p>
        </w:tc>
        <w:tc>
          <w:tcPr>
            <w:tcW w:type="dxa" w:w="22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3002000110</w:t>
            </w:r>
          </w:p>
        </w:tc>
        <w:tc>
          <w:tcPr>
            <w:tcW w:type="dxa" w:w="476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subscriptionBalance * -1 (Capital Subs rule)</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Capital Reds Pay</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3002000210 / 2005003500</w:t>
            </w:r>
          </w:p>
        </w:tc>
        <w:tc>
          <w:tcPr>
            <w:tcW w:type="dxa" w:w="47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redemptionBalance / redemptionPayBase (Capital Reds rules)</w:t>
            </w:r>
          </w:p>
        </w:tc>
      </w:tr>
      <w:tr>
        <w:tc>
          <w:tcPr>
            <w:tcW w:type="dxa" w:w="24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Distribution</w:t>
            </w:r>
          </w:p>
        </w:tc>
        <w:tc>
          <w:tcPr>
            <w:tcW w:type="dxa" w:w="22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3004000100/110/120</w:t>
            </w:r>
          </w:p>
        </w:tc>
        <w:tc>
          <w:tcPr>
            <w:tcW w:type="dxa" w:w="476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incomeDistribution / stcgDistribution / ltcgDistribution</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Distribution Payable</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2006000700</w:t>
            </w:r>
          </w:p>
        </w:tc>
        <w:tc>
          <w:tcPr>
            <w:tcW w:type="dxa" w:w="47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distributionPayable * -1</w:t>
            </w:r>
          </w:p>
        </w:tc>
      </w:tr>
      <w:tr>
        <w:tc>
          <w:tcPr>
            <w:tcW w:type="dxa" w:w="24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Forward Cost</w:t>
            </w:r>
          </w:p>
        </w:tc>
        <w:tc>
          <w:tcPr>
            <w:tcW w:type="dxa" w:w="22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1007001100 / 2005002900</w:t>
            </w:r>
          </w:p>
        </w:tc>
        <w:tc>
          <w:tcPr>
            <w:tcW w:type="dxa" w:w="476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ABS(fwdBookValue) receivable/payable (Forward rules)</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Forward URGL</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1011000201 / 4004000401</w:t>
            </w:r>
          </w:p>
        </w:tc>
        <w:tc>
          <w:tcPr>
            <w:tcW w:type="dxa" w:w="47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fwdUnrealized BS/INCST (Forward URGL rules)</w:t>
            </w:r>
          </w:p>
        </w:tc>
      </w:tr>
      <w:tr>
        <w:tc>
          <w:tcPr>
            <w:tcW w:type="dxa" w:w="24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Income Unrealized</w:t>
            </w:r>
          </w:p>
        </w:tc>
        <w:tc>
          <w:tcPr>
            <w:tcW w:type="dxa" w:w="22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1011000300 / 3003000800</w:t>
            </w:r>
          </w:p>
        </w:tc>
        <w:tc>
          <w:tcPr>
            <w:tcW w:type="dxa" w:w="476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posIncomeMarket - posIncomeBase (Security Int URGL rules)</w:t>
            </w:r>
          </w:p>
        </w:tc>
      </w:tr>
    </w:tbl>
    <w:p>
      <w:pPr>
        <w:pStyle w:val="Heading3"/>
      </w:pPr>
      <w:r>
        <w:t xml:space="preserve">4.5.2 Expandable Row: Subledger Compare Check</w:t>
      </w:r>
    </w:p>
    <w:p>
      <w:pPr>
        <w:spacing w:after="120" w:before="0"/>
      </w:pPr>
      <w:r>
        <w:rPr>
          <w:rFonts w:ascii="Arial" w:cs="Arial" w:eastAsia="Arial" w:hAnsi="Arial"/>
          <w:sz w:val="22"/>
          <w:szCs w:val="22"/>
        </w:rPr>
        <w:t xml:space="preserve">When a user expands a category row in the Trial Balance grid, an inline table appears showing the Subledger Compare Check. This validates that the GL ending balance matches the derived subledger rollup value for that category. This implements validation rule 1.5 (Ledger to Subledger).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1600"/>
        <w:gridCol w:w="1560"/>
      </w:tblGrid>
      <w:tr>
        <w:tc>
          <w:tcPr>
            <w:tcW w:type="dxa" w:w="22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Column</w:t>
            </w:r>
          </w:p>
        </w:tc>
        <w:tc>
          <w:tcPr>
            <w:tcW w:type="dxa" w:w="20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LHS (Ledger)</w:t>
            </w:r>
          </w:p>
        </w:tc>
        <w:tc>
          <w:tcPr>
            <w:tcW w:type="dxa" w:w="20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RHS (Subledger)</w:t>
            </w:r>
          </w:p>
        </w:tc>
        <w:tc>
          <w:tcPr>
            <w:tcW w:type="dxa" w:w="16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Difference</w:t>
            </w:r>
          </w:p>
        </w:tc>
        <w:tc>
          <w:tcPr>
            <w:tcW w:type="dxa" w:w="15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Validation</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Description</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dataLedger.endingBalance</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derivedSubLedgerRollup.subLedgerValue</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endingBalance - subLedgerValue</w:t>
            </w:r>
          </w:p>
        </w:tc>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Traffic light</w:t>
            </w:r>
          </w:p>
        </w:tc>
      </w:tr>
      <w:tr>
        <w:tc>
          <w:tcPr>
            <w:tcW w:type="dxa" w:w="22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Filter (LHS)</w:t>
            </w:r>
          </w:p>
        </w:tc>
        <w:tc>
          <w:tcPr>
            <w:tcW w:type="dxa" w:w="20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eagleClass = 'TF' AND isPrimaryBasis = 'Y'</w:t>
            </w:r>
          </w:p>
        </w:tc>
        <w:tc>
          <w:tcPr>
            <w:tcW w:type="dxa" w:w="20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w:t>
            </w:r>
          </w:p>
        </w:tc>
        <w:tc>
          <w:tcPr>
            <w:tcW w:type="dxa" w:w="16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w:t>
            </w:r>
          </w:p>
        </w:tc>
        <w:tc>
          <w:tcPr>
            <w:tcW w:type="dxa" w:w="156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Filter (RHS)</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isPrimaryBasis = 'Y'</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w:t>
            </w:r>
          </w:p>
        </w:tc>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w:t>
            </w:r>
          </w:p>
        </w:tc>
      </w:tr>
    </w:tbl>
    <w:p>
      <w:pPr>
        <w:pStyle w:val="Heading3"/>
      </w:pPr>
      <w:r>
        <w:t xml:space="preserve">4.5.3 Reconciliation Roll-Up Summary</w:t>
      </w:r>
    </w:p>
    <w:p>
      <w:pPr>
        <w:spacing w:after="120" w:before="0"/>
      </w:pPr>
      <w:r>
        <w:rPr>
          <w:rFonts w:ascii="Arial" w:cs="Arial" w:eastAsia="Arial" w:hAnsi="Arial"/>
          <w:sz w:val="22"/>
          <w:szCs w:val="22"/>
        </w:rPr>
        <w:t xml:space="preserve">Below the grid, a summary footer row shows:</w:t>
      </w:r>
    </w:p>
    <w:p>
      <w:pPr>
        <w:pStyle w:val="ListParagraph"/>
        <w:numPr>
          <w:ilvl w:val="0"/>
          <w:numId w:val="2"/>
        </w:numPr>
        <w:spacing w:after="60"/>
      </w:pPr>
      <w:r>
        <w:rPr>
          <w:rFonts w:ascii="Arial" w:cs="Arial" w:eastAsia="Arial" w:hAnsi="Arial"/>
          <w:sz w:val="22"/>
          <w:szCs w:val="22"/>
        </w:rPr>
        <w:t xml:space="preserve">Total Incumbent Balance: Sum of all category incumbent balances</w:t>
      </w:r>
    </w:p>
    <w:p>
      <w:pPr>
        <w:pStyle w:val="ListParagraph"/>
        <w:numPr>
          <w:ilvl w:val="0"/>
          <w:numId w:val="2"/>
        </w:numPr>
        <w:spacing w:after="60"/>
      </w:pPr>
      <w:r>
        <w:rPr>
          <w:rFonts w:ascii="Arial" w:cs="Arial" w:eastAsia="Arial" w:hAnsi="Arial"/>
          <w:sz w:val="22"/>
          <w:szCs w:val="22"/>
        </w:rPr>
        <w:t xml:space="preserve">Total BNY Balance: Sum of all category BNY balances</w:t>
      </w:r>
    </w:p>
    <w:p>
      <w:pPr>
        <w:pStyle w:val="ListParagraph"/>
        <w:numPr>
          <w:ilvl w:val="0"/>
          <w:numId w:val="2"/>
        </w:numPr>
        <w:spacing w:after="60"/>
      </w:pPr>
      <w:r>
        <w:rPr>
          <w:rFonts w:ascii="Arial" w:cs="Arial" w:eastAsia="Arial" w:hAnsi="Arial"/>
          <w:sz w:val="22"/>
          <w:szCs w:val="22"/>
        </w:rPr>
        <w:t xml:space="preserve">Total Variance: Should tie to the NAV TNA Difference from the parent screen</w:t>
      </w:r>
    </w:p>
    <w:p>
      <w:pPr>
        <w:pStyle w:val="ListParagraph"/>
        <w:numPr>
          <w:ilvl w:val="0"/>
          <w:numId w:val="2"/>
        </w:numPr>
        <w:spacing w:after="60"/>
      </w:pPr>
      <w:r>
        <w:rPr>
          <w:rFonts w:ascii="Arial" w:cs="Arial" w:eastAsia="Arial" w:hAnsi="Arial"/>
          <w:sz w:val="22"/>
          <w:szCs w:val="22"/>
        </w:rPr>
        <w:t xml:space="preserve">Tie-Out Validation: A visual check confirming the sum of category variances equals the NAV-level variance. If it does not tie, a warning is displayed.</w:t>
      </w:r>
    </w:p>
    <w:p>
      <w:pPr>
        <w:pStyle w:val="Heading3"/>
      </w:pPr>
      <w:r>
        <w:t xml:space="preserve">4.5.4 NAV Waterfall Chart</w:t>
      </w:r>
    </w:p>
    <w:p>
      <w:pPr>
        <w:spacing w:after="120" w:before="0"/>
      </w:pPr>
      <w:r>
        <w:rPr>
          <w:rFonts w:ascii="Arial" w:cs="Arial" w:eastAsia="Arial" w:hAnsi="Arial"/>
          <w:sz w:val="22"/>
          <w:szCs w:val="22"/>
        </w:rPr>
        <w:t xml:space="preserve">A D3.js waterfall chart positioned above or alongside the grid, visually decomposing the NAV variance:</w:t>
      </w:r>
    </w:p>
    <w:p>
      <w:pPr>
        <w:pStyle w:val="ListParagraph"/>
        <w:numPr>
          <w:ilvl w:val="0"/>
          <w:numId w:val="2"/>
        </w:numPr>
        <w:spacing w:after="60"/>
      </w:pPr>
      <w:r>
        <w:rPr>
          <w:rFonts w:ascii="Arial" w:cs="Arial" w:eastAsia="Arial" w:hAnsi="Arial"/>
          <w:sz w:val="22"/>
          <w:szCs w:val="22"/>
        </w:rPr>
        <w:t xml:space="preserve">Starting bar: Incumbent NAV (full height, neutral color)</w:t>
      </w:r>
    </w:p>
    <w:p>
      <w:pPr>
        <w:pStyle w:val="ListParagraph"/>
        <w:numPr>
          <w:ilvl w:val="0"/>
          <w:numId w:val="2"/>
        </w:numPr>
        <w:spacing w:after="60"/>
      </w:pPr>
      <w:r>
        <w:rPr>
          <w:rFonts w:ascii="Arial" w:cs="Arial" w:eastAsia="Arial" w:hAnsi="Arial"/>
          <w:sz w:val="22"/>
          <w:szCs w:val="22"/>
        </w:rPr>
        <w:t xml:space="preserve">Component bars: Each GL category's variance contribution as positive (green, upward) or negative (red, downward) bars</w:t>
      </w:r>
    </w:p>
    <w:p>
      <w:pPr>
        <w:pStyle w:val="ListParagraph"/>
        <w:numPr>
          <w:ilvl w:val="0"/>
          <w:numId w:val="2"/>
        </w:numPr>
        <w:spacing w:after="60"/>
      </w:pPr>
      <w:r>
        <w:rPr>
          <w:rFonts w:ascii="Arial" w:cs="Arial" w:eastAsia="Arial" w:hAnsi="Arial"/>
          <w:sz w:val="22"/>
          <w:szCs w:val="22"/>
        </w:rPr>
        <w:t xml:space="preserve">Ending bar: BNY NAV (full height, neutral color)</w:t>
      </w:r>
    </w:p>
    <w:p>
      <w:pPr>
        <w:pStyle w:val="ListParagraph"/>
        <w:numPr>
          <w:ilvl w:val="0"/>
          <w:numId w:val="2"/>
        </w:numPr>
        <w:spacing w:after="60"/>
      </w:pPr>
      <w:r>
        <w:rPr>
          <w:rFonts w:ascii="Arial" w:cs="Arial" w:eastAsia="Arial" w:hAnsi="Arial"/>
          <w:sz w:val="22"/>
          <w:szCs w:val="22"/>
        </w:rPr>
        <w:t xml:space="preserve">Interactive: Clicking a bar in the waterfall highlights/filters the corresponding row in the grid</w:t>
      </w:r>
    </w:p>
    <w:p>
      <w:pPr>
        <w:pStyle w:val="ListParagraph"/>
        <w:numPr>
          <w:ilvl w:val="0"/>
          <w:numId w:val="2"/>
        </w:numPr>
        <w:spacing w:after="60"/>
      </w:pPr>
      <w:r>
        <w:rPr>
          <w:rFonts w:ascii="Arial" w:cs="Arial" w:eastAsia="Arial" w:hAnsi="Arial"/>
          <w:sz w:val="22"/>
          <w:szCs w:val="22"/>
        </w:rPr>
        <w:t xml:space="preserve">Tooltip: On hover, shows category name, amount, and percentage of total variance</w:t>
      </w:r>
    </w:p>
    <w:p>
      <w:pPr>
        <w:pStyle w:val="Heading2"/>
      </w:pPr>
      <w:r>
        <w:t xml:space="preserve">4.6 User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Action</w:t>
            </w:r>
          </w:p>
        </w:tc>
        <w:tc>
          <w:tcPr>
            <w:tcW w:type="dxa" w:w="32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Behavior</w:t>
            </w:r>
          </w:p>
        </w:tc>
        <w:tc>
          <w:tcPr>
            <w:tcW w:type="dxa" w:w="33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Navigation</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Click category row</w:t>
            </w:r>
          </w:p>
        </w:tc>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Selects row, shows subledger detail in expandable area</w:t>
            </w:r>
          </w:p>
        </w:tc>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Stays on Trial Balance</w:t>
            </w:r>
          </w:p>
        </w:tc>
      </w:tr>
      <w:tr>
        <w:tc>
          <w:tcPr>
            <w:tcW w:type="dxa" w:w="28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Expand row (chevron)</w:t>
            </w:r>
          </w:p>
        </w:tc>
        <w:tc>
          <w:tcPr>
            <w:tcW w:type="dxa" w:w="32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Shows inline Subledger Compare Check for that GL category</w:t>
            </w:r>
          </w:p>
        </w:tc>
        <w:tc>
          <w:tcPr>
            <w:tcW w:type="dxa" w:w="336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Stays on Trial Balance</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Double-click category row</w:t>
            </w:r>
          </w:p>
        </w:tc>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Opens Position Drill-Down filtered to that GL category</w:t>
            </w:r>
          </w:p>
        </w:tc>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 /events/{eventId}/funds/{account}/positions?valuationDt={date}&amp;category={cat}</w:t>
            </w:r>
          </w:p>
        </w:tc>
      </w:tr>
      <w:tr>
        <w:tc>
          <w:tcPr>
            <w:tcW w:type="dxa" w:w="28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Click waterfall bar</w:t>
            </w:r>
          </w:p>
        </w:tc>
        <w:tc>
          <w:tcPr>
            <w:tcW w:type="dxa" w:w="32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Highlights corresponding grid row, scrolls into view</w:t>
            </w:r>
          </w:p>
        </w:tc>
        <w:tc>
          <w:tcPr>
            <w:tcW w:type="dxa" w:w="336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Stays on Trial Balance</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Click breadcrumb</w:t>
            </w:r>
          </w:p>
        </w:tc>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Returns to parent screen with context preserved</w:t>
            </w:r>
          </w:p>
        </w:tc>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 NAV Dashboard or Event Dashboard</w:t>
            </w:r>
          </w:p>
        </w:tc>
      </w:tr>
      <w:tr>
        <w:tc>
          <w:tcPr>
            <w:tcW w:type="dxa" w:w="28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Export to Excel</w:t>
            </w:r>
          </w:p>
        </w:tc>
        <w:tc>
          <w:tcPr>
            <w:tcW w:type="dxa" w:w="32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Exports full trial balance with all categories and subledger detail</w:t>
            </w:r>
          </w:p>
        </w:tc>
        <w:tc>
          <w:tcPr>
            <w:tcW w:type="dxa" w:w="336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Download initiates</w:t>
            </w:r>
          </w:p>
        </w:tc>
      </w:tr>
    </w:tbl>
    <w:p>
      <w:pPr>
        <w:pStyle w:val="Heading2"/>
      </w:pPr>
      <w:r>
        <w:t xml:space="preserve">4.7 AI Commentary Integration</w:t>
      </w:r>
    </w:p>
    <w:p>
      <w:pPr>
        <w:spacing w:after="120" w:before="0"/>
      </w:pPr>
      <w:r>
        <w:rPr>
          <w:rFonts w:ascii="Arial" w:cs="Arial" w:eastAsia="Arial" w:hAnsi="Arial"/>
          <w:sz w:val="22"/>
          <w:szCs w:val="22"/>
        </w:rPr>
        <w:t xml:space="preserve">The AI commentary panel at this level shows category-level analysis:</w:t>
      </w:r>
    </w:p>
    <w:p>
      <w:pPr>
        <w:pStyle w:val="ListParagraph"/>
        <w:numPr>
          <w:ilvl w:val="0"/>
          <w:numId w:val="2"/>
        </w:numPr>
        <w:spacing w:after="60"/>
      </w:pPr>
      <w:r>
        <w:rPr>
          <w:rFonts w:ascii="Arial" w:cs="Arial" w:eastAsia="Arial" w:hAnsi="Arial"/>
          <w:sz w:val="22"/>
          <w:szCs w:val="22"/>
        </w:rPr>
        <w:t xml:space="preserve">Identifies which categories are the primary variance drivers</w:t>
      </w:r>
    </w:p>
    <w:p>
      <w:pPr>
        <w:pStyle w:val="ListParagraph"/>
        <w:numPr>
          <w:ilvl w:val="0"/>
          <w:numId w:val="2"/>
        </w:numPr>
        <w:spacing w:after="60"/>
      </w:pPr>
      <w:r>
        <w:rPr>
          <w:rFonts w:ascii="Arial" w:cs="Arial" w:eastAsia="Arial" w:hAnsi="Arial"/>
          <w:sz w:val="22"/>
          <w:szCs w:val="22"/>
        </w:rPr>
        <w:t xml:space="preserve">Correlates category breaks with position-level patterns (e.g., "Investment Urgl variance of ($22,972.58) is driven by price differences on 3 bond positions")</w:t>
      </w:r>
    </w:p>
    <w:p>
      <w:pPr>
        <w:pStyle w:val="ListParagraph"/>
        <w:numPr>
          <w:ilvl w:val="0"/>
          <w:numId w:val="2"/>
        </w:numPr>
        <w:spacing w:after="60"/>
      </w:pPr>
      <w:r>
        <w:rPr>
          <w:rFonts w:ascii="Arial" w:cs="Arial" w:eastAsia="Arial" w:hAnsi="Arial"/>
          <w:sz w:val="22"/>
          <w:szCs w:val="22"/>
        </w:rPr>
        <w:t xml:space="preserve">Propagates upward commentary: summarizes how this category variance flows to the NAV-level break</w:t>
      </w:r>
    </w:p>
    <w:p>
      <w:pPr>
        <w:pStyle w:val="ListParagraph"/>
        <w:numPr>
          <w:ilvl w:val="0"/>
          <w:numId w:val="2"/>
        </w:numPr>
        <w:spacing w:after="60"/>
      </w:pPr>
      <w:r>
        <w:rPr>
          <w:rFonts w:ascii="Arial" w:cs="Arial" w:eastAsia="Arial" w:hAnsi="Arial"/>
          <w:sz w:val="22"/>
          <w:szCs w:val="22"/>
        </w:rPr>
        <w:t xml:space="preserve">Suggests drill-down priority: recommends which categories to investigate first based on magnitude, confidence, and pattern matching</w:t>
      </w:r>
    </w:p>
    <w:p>
      <w:r>
        <w:br w:type="page"/>
      </w:r>
    </w:p>
    <w:p>
      <w:pPr>
        <w:pStyle w:val="Heading1"/>
      </w:pPr>
      <w:r>
        <w:t xml:space="preserve">5. Screen 4: Position Drill-Down</w:t>
      </w:r>
    </w:p>
    <w:p>
      <w:pPr>
        <w:pStyle w:val="Heading2"/>
      </w:pPr>
      <w:r>
        <w:t xml:space="preserve">5.1 Purpose</w:t>
      </w:r>
    </w:p>
    <w:p>
      <w:pPr>
        <w:spacing w:after="120" w:before="0"/>
      </w:pPr>
      <w:r>
        <w:rPr>
          <w:rFonts w:ascii="Arial" w:cs="Arial" w:eastAsia="Arial" w:hAnsi="Arial"/>
          <w:sz w:val="22"/>
          <w:szCs w:val="22"/>
        </w:rPr>
        <w:t xml:space="preserve">The Position Drill-Down is the deepest operational view, implementing L2 (Position to Lot) and L2 (Ledger to Subledger) validations. When a user drills into a GL category showing a variance (e.g., Investment Urgl with a ($22,972.58) difference), this screen shows every security position contributing to that category, with the ability to further expand into individual tax lots. This is where the analyst identifies the specific securities, accruals, or transactions causing the break.</w:t>
      </w:r>
    </w:p>
    <w:p>
      <w:pPr>
        <w:pStyle w:val="Heading2"/>
      </w:pPr>
      <w:r>
        <w:t xml:space="preserve">5.2 URL &amp; Routing</w:t>
      </w:r>
    </w:p>
    <w:p>
      <w:pPr>
        <w:spacing w:after="120" w:before="0"/>
      </w:pPr>
      <w:r>
        <w:rPr>
          <w:rFonts w:ascii="Courier New" w:cs="Courier New" w:eastAsia="Courier New" w:hAnsi="Courier New"/>
          <w:sz w:val="20"/>
          <w:szCs w:val="20"/>
        </w:rPr>
        <w:t xml:space="preserve">/events/{eventId}/funds/{account}/positions?valuationDt={date}&amp;category={category}</w:t>
      </w:r>
    </w:p>
    <w:p>
      <w:pPr>
        <w:pStyle w:val="Heading2"/>
      </w:pPr>
      <w:r>
        <w:t xml:space="preserve">5.3 Breadcrumb</w:t>
      </w:r>
    </w:p>
    <w:p>
      <w:pPr>
        <w:spacing w:after="120" w:before="0"/>
      </w:pPr>
      <w:r>
        <w:rPr>
          <w:rFonts w:ascii="Arial" w:cs="Arial" w:eastAsia="Arial" w:hAnsi="Arial"/>
          <w:color w:val="2C5F8A"/>
          <w:sz w:val="22"/>
          <w:szCs w:val="22"/>
        </w:rPr>
        <w:t xml:space="preserve">Events &gt; {Event Name} &gt; {Fund Name} &gt; Trial Balance &gt; {Category} Positions</w:t>
      </w:r>
    </w:p>
    <w:p>
      <w:pPr>
        <w:pStyle w:val="Heading2"/>
      </w:pPr>
      <w:r>
        <w:t xml:space="preserve">5.4 Context Header</w:t>
      </w:r>
    </w:p>
    <w:p>
      <w:pPr>
        <w:spacing w:after="120" w:before="0"/>
      </w:pPr>
      <w:r>
        <w:rPr>
          <w:rFonts w:ascii="Arial" w:cs="Arial" w:eastAsia="Arial" w:hAnsi="Arial"/>
          <w:sz w:val="22"/>
          <w:szCs w:val="22"/>
        </w:rPr>
        <w:t xml:space="preserve">Inherited context from Trial Balance plus category filter:</w:t>
      </w:r>
    </w:p>
    <w:p>
      <w:pPr>
        <w:pStyle w:val="ListParagraph"/>
        <w:numPr>
          <w:ilvl w:val="0"/>
          <w:numId w:val="2"/>
        </w:numPr>
        <w:spacing w:after="60"/>
      </w:pPr>
      <w:r>
        <w:rPr>
          <w:rFonts w:ascii="Arial" w:cs="Arial" w:eastAsia="Arial" w:hAnsi="Arial"/>
          <w:sz w:val="22"/>
          <w:szCs w:val="22"/>
        </w:rPr>
        <w:t xml:space="preserve">Fund: {accountName} ({account})</w:t>
      </w:r>
    </w:p>
    <w:p>
      <w:pPr>
        <w:pStyle w:val="ListParagraph"/>
        <w:numPr>
          <w:ilvl w:val="0"/>
          <w:numId w:val="2"/>
        </w:numPr>
        <w:spacing w:after="60"/>
      </w:pPr>
      <w:r>
        <w:rPr>
          <w:rFonts w:ascii="Arial" w:cs="Arial" w:eastAsia="Arial" w:hAnsi="Arial"/>
          <w:sz w:val="22"/>
          <w:szCs w:val="22"/>
        </w:rPr>
        <w:t xml:space="preserve">Valuation Date: {valuationDt}</w:t>
      </w:r>
    </w:p>
    <w:p>
      <w:pPr>
        <w:pStyle w:val="ListParagraph"/>
        <w:numPr>
          <w:ilvl w:val="0"/>
          <w:numId w:val="2"/>
        </w:numPr>
        <w:spacing w:after="60"/>
      </w:pPr>
      <w:r>
        <w:rPr>
          <w:rFonts w:ascii="Arial" w:cs="Arial" w:eastAsia="Arial" w:hAnsi="Arial"/>
          <w:sz w:val="22"/>
          <w:szCs w:val="22"/>
        </w:rPr>
        <w:t xml:space="preserve">Category: {GL Category Name} (e.g., Investment Cost, Investment Urgl, Interest RecPay)</w:t>
      </w:r>
    </w:p>
    <w:p>
      <w:pPr>
        <w:pStyle w:val="ListParagraph"/>
        <w:numPr>
          <w:ilvl w:val="0"/>
          <w:numId w:val="2"/>
        </w:numPr>
        <w:spacing w:after="60"/>
      </w:pPr>
      <w:r>
        <w:rPr>
          <w:rFonts w:ascii="Arial" w:cs="Arial" w:eastAsia="Arial" w:hAnsi="Arial"/>
          <w:sz w:val="22"/>
          <w:szCs w:val="22"/>
        </w:rPr>
        <w:t xml:space="preserve">Category Variance: ${Balance Diff} ({Balance Diff BP} bp)</w:t>
      </w:r>
    </w:p>
    <w:p>
      <w:pPr>
        <w:pStyle w:val="ListParagraph"/>
        <w:numPr>
          <w:ilvl w:val="0"/>
          <w:numId w:val="2"/>
        </w:numPr>
        <w:spacing w:after="60"/>
      </w:pPr>
      <w:r>
        <w:rPr>
          <w:rFonts w:ascii="Arial" w:cs="Arial" w:eastAsia="Arial" w:hAnsi="Arial"/>
          <w:sz w:val="22"/>
          <w:szCs w:val="22"/>
        </w:rPr>
        <w:t xml:space="preserve">NAV Variance: ${TNA Difference} (total fund-level for reference)</w:t>
      </w:r>
    </w:p>
    <w:p>
      <w:pPr>
        <w:pStyle w:val="Heading2"/>
      </w:pPr>
      <w:r>
        <w:t xml:space="preserve">5.5 Layout Structure</w:t>
      </w:r>
    </w:p>
    <w:p>
      <w:pPr>
        <w:pStyle w:val="Heading3"/>
      </w:pPr>
      <w:r>
        <w:t xml:space="preserve">5.5.1 Position Compare Grid (Primary Table)</w:t>
      </w:r>
    </w:p>
    <w:p>
      <w:pPr>
        <w:spacing w:after="120" w:before="0"/>
      </w:pPr>
      <w:r>
        <w:rPr>
          <w:rFonts w:ascii="Arial" w:cs="Arial" w:eastAsia="Arial" w:hAnsi="Arial"/>
          <w:sz w:val="22"/>
          <w:szCs w:val="22"/>
        </w:rPr>
        <w:t xml:space="preserve">This table implements the Position-to-Lot validation (Section 1.4 of Data Validation Rules) filtered to the selected GL category. It compares position-level aggregates between Incumbent and BNY data. The comparison fields vary by category context.</w:t>
      </w:r>
    </w:p>
    <w:p>
      <w:pPr>
        <w:spacing w:after="120" w:before="120"/>
      </w:pPr>
      <w:r>
        <w:rPr>
          <w:rFonts w:ascii="Arial" w:cs="Arial" w:eastAsia="Arial" w:hAnsi="Arial"/>
          <w:b/>
          <w:bCs/>
          <w:sz w:val="22"/>
          <w:szCs w:val="22"/>
        </w:rPr>
        <w:t xml:space="preserve">Column Definitions – Core Columns (all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200"/>
        <w:gridCol w:w="1800"/>
        <w:gridCol w:w="2760"/>
      </w:tblGrid>
      <w:tr>
        <w:tc>
          <w:tcPr>
            <w:tcW w:type="dxa" w:w="18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Column</w:t>
            </w:r>
          </w:p>
        </w:tc>
        <w:tc>
          <w:tcPr>
            <w:tcW w:type="dxa" w:w="18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 Source</w:t>
            </w:r>
          </w:p>
        </w:tc>
        <w:tc>
          <w:tcPr>
            <w:tcW w:type="dxa" w:w="12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Data Type</w:t>
            </w:r>
          </w:p>
        </w:tc>
        <w:tc>
          <w:tcPr>
            <w:tcW w:type="dxa" w:w="18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Format</w:t>
            </w:r>
          </w:p>
        </w:tc>
        <w:tc>
          <w:tcPr>
            <w:tcW w:type="dxa" w:w="27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Notes</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Asset ID</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dataSubLedgerPosition.assetId</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String</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Left-aligned</w:t>
            </w:r>
          </w:p>
        </w:tc>
        <w:tc>
          <w:tcPr>
            <w:tcW w:type="dxa" w:w="27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Primary security identifier, links to refSecurity</w:t>
            </w:r>
          </w:p>
        </w:tc>
      </w:tr>
      <w:tr>
        <w:tc>
          <w:tcPr>
            <w:tcW w:type="dxa" w:w="18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Security Type</w:t>
            </w:r>
          </w:p>
        </w:tc>
        <w:tc>
          <w:tcPr>
            <w:tcW w:type="dxa" w:w="18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refSecurity.secType</w:t>
            </w:r>
          </w:p>
        </w:tc>
        <w:tc>
          <w:tcPr>
            <w:tcW w:type="dxa" w:w="12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String</w:t>
            </w:r>
          </w:p>
        </w:tc>
        <w:tc>
          <w:tcPr>
            <w:tcW w:type="dxa" w:w="18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Left-aligned</w:t>
            </w:r>
          </w:p>
        </w:tc>
        <w:tc>
          <w:tcPr>
            <w:tcW w:type="dxa" w:w="276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Joined from refSecType for display label</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Issue Description</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refSecurity.issueDescription</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String</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Left-aligned</w:t>
            </w:r>
          </w:p>
        </w:tc>
        <w:tc>
          <w:tcPr>
            <w:tcW w:type="dxa" w:w="27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Security name/description</w:t>
            </w:r>
          </w:p>
        </w:tc>
      </w:tr>
      <w:tr>
        <w:tc>
          <w:tcPr>
            <w:tcW w:type="dxa" w:w="18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CUSIP</w:t>
            </w:r>
          </w:p>
        </w:tc>
        <w:tc>
          <w:tcPr>
            <w:tcW w:type="dxa" w:w="18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refSecurity.cusip</w:t>
            </w:r>
          </w:p>
        </w:tc>
        <w:tc>
          <w:tcPr>
            <w:tcW w:type="dxa" w:w="12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String</w:t>
            </w:r>
          </w:p>
        </w:tc>
        <w:tc>
          <w:tcPr>
            <w:tcW w:type="dxa" w:w="18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Left-aligned</w:t>
            </w:r>
          </w:p>
        </w:tc>
        <w:tc>
          <w:tcPr>
            <w:tcW w:type="dxa" w:w="276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9-character CUSIP identifier</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Long/Short</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dataSubLedgerPosition.longShortInd</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String</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Center</w:t>
            </w:r>
          </w:p>
        </w:tc>
        <w:tc>
          <w:tcPr>
            <w:tcW w:type="dxa" w:w="27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L or S indicator</w:t>
            </w:r>
          </w:p>
        </w:tc>
      </w:tr>
      <w:tr>
        <w:tc>
          <w:tcPr>
            <w:tcW w:type="dxa" w:w="18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Share Class</w:t>
            </w:r>
          </w:p>
        </w:tc>
        <w:tc>
          <w:tcPr>
            <w:tcW w:type="dxa" w:w="18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dataSubLedgerPosition.shareClass</w:t>
            </w:r>
          </w:p>
        </w:tc>
        <w:tc>
          <w:tcPr>
            <w:tcW w:type="dxa" w:w="12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String</w:t>
            </w:r>
          </w:p>
        </w:tc>
        <w:tc>
          <w:tcPr>
            <w:tcW w:type="dxa" w:w="18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Left-aligned</w:t>
            </w:r>
          </w:p>
        </w:tc>
        <w:tc>
          <w:tcPr>
            <w:tcW w:type="dxa" w:w="276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Class identifier for multi-class funds</w:t>
            </w:r>
          </w:p>
        </w:tc>
      </w:tr>
    </w:tbl>
    <w:p>
      <w:pPr>
        <w:spacing w:after="120" w:before="120"/>
      </w:pPr>
      <w:r>
        <w:rPr>
          <w:rFonts w:ascii="Arial" w:cs="Arial" w:eastAsia="Arial" w:hAnsi="Arial"/>
          <w:b/>
          <w:bCs/>
          <w:sz w:val="22"/>
          <w:szCs w:val="22"/>
        </w:rPr>
        <w:t xml:space="preserve">Comparison Columns by Category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GL Category</w:t>
            </w:r>
          </w:p>
        </w:tc>
        <w:tc>
          <w:tcPr>
            <w:tcW w:type="dxa" w:w="73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Comparison Fields (Incumbent vs BNY + Variance)</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Investment Cost</w:t>
            </w:r>
          </w:p>
        </w:tc>
        <w:tc>
          <w:tcPr>
            <w:tcW w:type="dxa" w:w="73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posBookValueLocal, posBookValueBase, posOrigCostLocal, posOrigCostBase, posShares, posOriginalFace</w:t>
            </w:r>
          </w:p>
        </w:tc>
      </w:tr>
      <w:tr>
        <w:tc>
          <w:tcPr>
            <w:tcW w:type="dxa" w:w="20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Investment Urgl</w:t>
            </w:r>
          </w:p>
        </w:tc>
        <w:tc>
          <w:tcPr>
            <w:tcW w:type="dxa" w:w="736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posUnrealizedLocal, posUnrealizedBase (derived: posMarketValueBase - posBookValueBase), posMarketPrice, posMarketValueBase</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Interest RecPay</w:t>
            </w:r>
          </w:p>
        </w:tc>
        <w:tc>
          <w:tcPr>
            <w:tcW w:type="dxa" w:w="73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posIncomeLocal, posIncomeBase, posIncomeMarket, posPrevCouponDt, posNextCouponDt, dailyInterestLocal, dailyInterestBase</w:t>
            </w:r>
          </w:p>
        </w:tc>
      </w:tr>
      <w:tr>
        <w:tc>
          <w:tcPr>
            <w:tcW w:type="dxa" w:w="20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Dividend RecPay</w:t>
            </w:r>
          </w:p>
        </w:tc>
        <w:tc>
          <w:tcPr>
            <w:tcW w:type="dxa" w:w="736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Unsettled transaction fields: transAmountLocal, transAmountBase, transTradeDate, transSettleDate</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Expense RecPay</w:t>
            </w:r>
          </w:p>
        </w:tc>
        <w:tc>
          <w:tcPr>
            <w:tcW w:type="dxa" w:w="73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Unsettled transaction fields: transAmountLocal, transAmountBase, transCode, transSettleDate</w:t>
            </w:r>
          </w:p>
        </w:tc>
      </w:tr>
      <w:tr>
        <w:tc>
          <w:tcPr>
            <w:tcW w:type="dxa" w:w="20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Forward Cost/Urgl</w:t>
            </w:r>
          </w:p>
        </w:tc>
        <w:tc>
          <w:tcPr>
            <w:tcW w:type="dxa" w:w="736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fwdLongAmount, fwdShortAmount, fwdBookValue, fwdUnrealized, fwdLongCurrency, fwdShortCurrency</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Futures Margin</w:t>
            </w:r>
          </w:p>
        </w:tc>
        <w:tc>
          <w:tcPr>
            <w:tcW w:type="dxa" w:w="73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ltdVariationMarginLocal, ltdVariationMarginBase, dailyVariationMarginLocal, dailyVariationMarginBase</w:t>
            </w:r>
          </w:p>
        </w:tc>
      </w:tr>
    </w:tbl>
    <w:p>
      <w:pPr>
        <w:spacing w:after="120" w:before="100"/>
      </w:pPr>
      <w:r>
        <w:rPr>
          <w:rFonts w:ascii="Arial" w:cs="Arial" w:eastAsia="Arial" w:hAnsi="Arial"/>
          <w:sz w:val="22"/>
          <w:szCs w:val="22"/>
        </w:rPr>
        <w:t xml:space="preserve">For each comparison field, the grid shows three sub-columns:</w:t>
      </w:r>
    </w:p>
    <w:p>
      <w:pPr>
        <w:pStyle w:val="ListParagraph"/>
        <w:numPr>
          <w:ilvl w:val="0"/>
          <w:numId w:val="2"/>
        </w:numPr>
        <w:spacing w:after="60"/>
      </w:pPr>
      <w:r>
        <w:rPr>
          <w:rFonts w:ascii="Arial" w:cs="Arial" w:eastAsia="Arial" w:hAnsi="Arial"/>
          <w:sz w:val="22"/>
          <w:szCs w:val="22"/>
        </w:rPr>
        <w:t xml:space="preserve">Incumbent {field}: Value from incumbent data source (userBank = incumbent)</w:t>
      </w:r>
    </w:p>
    <w:p>
      <w:pPr>
        <w:pStyle w:val="ListParagraph"/>
        <w:numPr>
          <w:ilvl w:val="0"/>
          <w:numId w:val="2"/>
        </w:numPr>
        <w:spacing w:after="60"/>
      </w:pPr>
      <w:r>
        <w:rPr>
          <w:rFonts w:ascii="Arial" w:cs="Arial" w:eastAsia="Arial" w:hAnsi="Arial"/>
          <w:sz w:val="22"/>
          <w:szCs w:val="22"/>
        </w:rPr>
        <w:t xml:space="preserve">BNY {field}: Value from BNY data source (userBank = BNY)</w:t>
      </w:r>
    </w:p>
    <w:p>
      <w:pPr>
        <w:pStyle w:val="ListParagraph"/>
        <w:numPr>
          <w:ilvl w:val="0"/>
          <w:numId w:val="2"/>
        </w:numPr>
        <w:spacing w:after="60"/>
      </w:pPr>
      <w:r>
        <w:rPr>
          <w:rFonts w:ascii="Arial" w:cs="Arial" w:eastAsia="Arial" w:hAnsi="Arial"/>
          <w:sz w:val="22"/>
          <w:szCs w:val="22"/>
        </w:rPr>
        <w:t xml:space="preserve">Variance: Incumbent - BNY, with conditional formatting (red if |variance| &gt; threshold)</w:t>
      </w:r>
    </w:p>
    <w:p>
      <w:pPr>
        <w:pStyle w:val="Heading3"/>
      </w:pPr>
      <w:r>
        <w:t xml:space="preserve">5.5.2 Expandable Row: Tax Lot Detail</w:t>
      </w:r>
    </w:p>
    <w:p>
      <w:pPr>
        <w:spacing w:after="120" w:before="0"/>
      </w:pPr>
      <w:r>
        <w:rPr>
          <w:rFonts w:ascii="Arial" w:cs="Arial" w:eastAsia="Arial" w:hAnsi="Arial"/>
          <w:sz w:val="22"/>
          <w:szCs w:val="22"/>
        </w:rPr>
        <w:t xml:space="preserve">When a user expands a position row, the tax lot detail appears. This implements the Position-to-Lot validation (Section 1.4) at the individual lot level, using dataSubLedgerTrans as the lot-level source.</w:t>
      </w:r>
    </w:p>
    <w:p>
      <w:pPr>
        <w:spacing w:after="120" w:before="100"/>
      </w:pPr>
      <w:r>
        <w:rPr>
          <w:rFonts w:ascii="Arial" w:cs="Arial" w:eastAsia="Arial" w:hAnsi="Arial"/>
          <w:b/>
          <w:bCs/>
          <w:sz w:val="22"/>
          <w:szCs w:val="22"/>
        </w:rPr>
        <w:t xml:space="preserve">Tax Lot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200"/>
        <w:gridCol w:w="2000"/>
        <w:gridCol w:w="2360"/>
      </w:tblGrid>
      <w:tr>
        <w:tc>
          <w:tcPr>
            <w:tcW w:type="dxa" w:w="20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Column</w:t>
            </w:r>
          </w:p>
        </w:tc>
        <w:tc>
          <w:tcPr>
            <w:tcW w:type="dxa" w:w="18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 Source</w:t>
            </w:r>
          </w:p>
        </w:tc>
        <w:tc>
          <w:tcPr>
            <w:tcW w:type="dxa" w:w="12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Data Type</w:t>
            </w:r>
          </w:p>
        </w:tc>
        <w:tc>
          <w:tcPr>
            <w:tcW w:type="dxa" w:w="20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Format</w:t>
            </w:r>
          </w:p>
        </w:tc>
        <w:tc>
          <w:tcPr>
            <w:tcW w:type="dxa" w:w="23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Notes</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Transaction ID</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dataSubLedgerTrans.transactionId</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String</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Left-aligned</w:t>
            </w:r>
          </w:p>
        </w:tc>
        <w:tc>
          <w:tcPr>
            <w:tcW w:type="dxa" w:w="23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Unique lot identifier</w:t>
            </w:r>
          </w:p>
        </w:tc>
      </w:tr>
      <w:tr>
        <w:tc>
          <w:tcPr>
            <w:tcW w:type="dxa" w:w="20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Lot Trade Date</w:t>
            </w:r>
          </w:p>
        </w:tc>
        <w:tc>
          <w:tcPr>
            <w:tcW w:type="dxa" w:w="18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dataSubLedgerTrans.lotTradeDate</w:t>
            </w:r>
          </w:p>
        </w:tc>
        <w:tc>
          <w:tcPr>
            <w:tcW w:type="dxa" w:w="12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Date</w:t>
            </w:r>
          </w:p>
        </w:tc>
        <w:tc>
          <w:tcPr>
            <w:tcW w:type="dxa" w:w="20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YYYY-MM-DD</w:t>
            </w:r>
          </w:p>
        </w:tc>
        <w:tc>
          <w:tcPr>
            <w:tcW w:type="dxa" w:w="236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Original acquisition date</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Lot Settle Date</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dataSubLedgerTrans.lotSettleDate</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Date</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YYYY-MM-DD</w:t>
            </w:r>
          </w:p>
        </w:tc>
        <w:tc>
          <w:tcPr>
            <w:tcW w:type="dxa" w:w="23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Original settlement date</w:t>
            </w:r>
          </w:p>
        </w:tc>
      </w:tr>
      <w:tr>
        <w:tc>
          <w:tcPr>
            <w:tcW w:type="dxa" w:w="20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Shares</w:t>
            </w:r>
          </w:p>
        </w:tc>
        <w:tc>
          <w:tcPr>
            <w:tcW w:type="dxa" w:w="18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dataSubLedgerTrans.shares</w:t>
            </w:r>
          </w:p>
        </w:tc>
        <w:tc>
          <w:tcPr>
            <w:tcW w:type="dxa" w:w="12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Decimal(18,6)</w:t>
            </w:r>
          </w:p>
        </w:tc>
        <w:tc>
          <w:tcPr>
            <w:tcW w:type="dxa" w:w="20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#,##0.000000</w:t>
            </w:r>
          </w:p>
        </w:tc>
        <w:tc>
          <w:tcPr>
            <w:tcW w:type="dxa" w:w="236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Lot share quantity</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Original Face</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dataSubLedgerTrans.originalFace</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Decimal(18,6)</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#,##0.000000</w:t>
            </w:r>
          </w:p>
        </w:tc>
        <w:tc>
          <w:tcPr>
            <w:tcW w:type="dxa" w:w="23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For factor-based securities</w:t>
            </w:r>
          </w:p>
        </w:tc>
      </w:tr>
      <w:tr>
        <w:tc>
          <w:tcPr>
            <w:tcW w:type="dxa" w:w="20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Orig Cost Local</w:t>
            </w:r>
          </w:p>
        </w:tc>
        <w:tc>
          <w:tcPr>
            <w:tcW w:type="dxa" w:w="18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dataSubLedgerTrans.origCostLocal</w:t>
            </w:r>
          </w:p>
        </w:tc>
        <w:tc>
          <w:tcPr>
            <w:tcW w:type="dxa" w:w="12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Decimal(18,2)</w:t>
            </w:r>
          </w:p>
        </w:tc>
        <w:tc>
          <w:tcPr>
            <w:tcW w:type="dxa" w:w="20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#,##0.00</w:t>
            </w:r>
          </w:p>
        </w:tc>
        <w:tc>
          <w:tcPr>
            <w:tcW w:type="dxa" w:w="236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Original cost of lot (local)</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Orig Cost Base</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dataSubLedgerTrans.origCostBase</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Decimal(18,2)</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#,##0.00</w:t>
            </w:r>
          </w:p>
        </w:tc>
        <w:tc>
          <w:tcPr>
            <w:tcW w:type="dxa" w:w="23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Original cost of lot (base)</w:t>
            </w:r>
          </w:p>
        </w:tc>
      </w:tr>
      <w:tr>
        <w:tc>
          <w:tcPr>
            <w:tcW w:type="dxa" w:w="20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Book Value Local</w:t>
            </w:r>
          </w:p>
        </w:tc>
        <w:tc>
          <w:tcPr>
            <w:tcW w:type="dxa" w:w="18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dataSubLedgerTrans.bookValueLocal</w:t>
            </w:r>
          </w:p>
        </w:tc>
        <w:tc>
          <w:tcPr>
            <w:tcW w:type="dxa" w:w="12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Decimal(18,2)</w:t>
            </w:r>
          </w:p>
        </w:tc>
        <w:tc>
          <w:tcPr>
            <w:tcW w:type="dxa" w:w="20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#,##0.00</w:t>
            </w:r>
          </w:p>
        </w:tc>
        <w:tc>
          <w:tcPr>
            <w:tcW w:type="dxa" w:w="236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Amortized cost (local)</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Book Value Base</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dataSubLedgerTrans.bookValueBase</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Decimal(18,2)</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#,##0.00</w:t>
            </w:r>
          </w:p>
        </w:tc>
        <w:tc>
          <w:tcPr>
            <w:tcW w:type="dxa" w:w="23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Amortized cost (base)</w:t>
            </w:r>
          </w:p>
        </w:tc>
      </w:tr>
      <w:tr>
        <w:tc>
          <w:tcPr>
            <w:tcW w:type="dxa" w:w="20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Market Value Local</w:t>
            </w:r>
          </w:p>
        </w:tc>
        <w:tc>
          <w:tcPr>
            <w:tcW w:type="dxa" w:w="18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dataSubLedgerTrans.marketValueLocal</w:t>
            </w:r>
          </w:p>
        </w:tc>
        <w:tc>
          <w:tcPr>
            <w:tcW w:type="dxa" w:w="12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Decimal(18,2)</w:t>
            </w:r>
          </w:p>
        </w:tc>
        <w:tc>
          <w:tcPr>
            <w:tcW w:type="dxa" w:w="20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#,##0.00</w:t>
            </w:r>
          </w:p>
        </w:tc>
        <w:tc>
          <w:tcPr>
            <w:tcW w:type="dxa" w:w="236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Current market value (local)</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Market Value Base</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dataSubLedgerTrans.marketValueBase</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Decimal(18,2)</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#,##0.00</w:t>
            </w:r>
          </w:p>
        </w:tc>
        <w:tc>
          <w:tcPr>
            <w:tcW w:type="dxa" w:w="23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Current market value (base)</w:t>
            </w:r>
          </w:p>
        </w:tc>
      </w:tr>
      <w:tr>
        <w:tc>
          <w:tcPr>
            <w:tcW w:type="dxa" w:w="20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Income Local</w:t>
            </w:r>
          </w:p>
        </w:tc>
        <w:tc>
          <w:tcPr>
            <w:tcW w:type="dxa" w:w="18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dataSubLedgerTrans.incomeLocal</w:t>
            </w:r>
          </w:p>
        </w:tc>
        <w:tc>
          <w:tcPr>
            <w:tcW w:type="dxa" w:w="12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Decimal(18,2)</w:t>
            </w:r>
          </w:p>
        </w:tc>
        <w:tc>
          <w:tcPr>
            <w:tcW w:type="dxa" w:w="20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#,##0.00</w:t>
            </w:r>
          </w:p>
        </w:tc>
        <w:tc>
          <w:tcPr>
            <w:tcW w:type="dxa" w:w="236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Accrued income on lot</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Broker Code</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dataSubLedgerTrans.brokerCode</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String</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Left-aligned</w:t>
            </w:r>
          </w:p>
        </w:tc>
        <w:tc>
          <w:tcPr>
            <w:tcW w:type="dxa" w:w="23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Lot broker code</w:t>
            </w:r>
          </w:p>
        </w:tc>
      </w:tr>
    </w:tbl>
    <w:p>
      <w:pPr>
        <w:spacing w:after="120" w:before="0"/>
      </w:pPr>
      <w:r>
        <w:rPr>
          <w:rFonts w:ascii="Arial" w:cs="Arial" w:eastAsia="Arial" w:hAnsi="Arial"/>
          <w:sz w:val="22"/>
          <w:szCs w:val="22"/>
        </w:rPr>
        <w:t xml:space="preserve">Each lot row follows the same Incumbent / BNY / Variance tri-column pattern for the relevant comparison fields.</w:t>
      </w:r>
    </w:p>
    <w:p>
      <w:pPr>
        <w:pStyle w:val="Heading3"/>
      </w:pPr>
      <w:r>
        <w:t xml:space="preserve">5.5.3 Basis Lot Check (Secondary Validation)</w:t>
      </w:r>
    </w:p>
    <w:p>
      <w:pPr>
        <w:spacing w:after="120" w:before="0"/>
      </w:pPr>
      <w:r>
        <w:rPr>
          <w:rFonts w:ascii="Arial" w:cs="Arial" w:eastAsia="Arial" w:hAnsi="Arial"/>
          <w:sz w:val="22"/>
          <w:szCs w:val="22"/>
        </w:rPr>
        <w:t xml:space="preserve">An additional validation panel available via a tab or toggle, implementing rule 1.6 (Basis Lot Check). This compares shares between the primary accounting basis and non-primary basis for each position to detect basis reconciliation issues.</w:t>
      </w:r>
    </w:p>
    <w:p>
      <w:pPr>
        <w:pStyle w:val="ListParagraph"/>
        <w:numPr>
          <w:ilvl w:val="0"/>
          <w:numId w:val="2"/>
        </w:numPr>
        <w:spacing w:after="60"/>
      </w:pPr>
      <w:r>
        <w:rPr>
          <w:rFonts w:ascii="Arial" w:cs="Arial" w:eastAsia="Arial" w:hAnsi="Arial"/>
          <w:sz w:val="22"/>
          <w:szCs w:val="22"/>
        </w:rPr>
        <w:t xml:space="preserve">LHS: dataSubLedgerTrans WHERE isPrimaryBasis = 'Y' → shares by assetId</w:t>
      </w:r>
    </w:p>
    <w:p>
      <w:pPr>
        <w:pStyle w:val="ListParagraph"/>
        <w:numPr>
          <w:ilvl w:val="0"/>
          <w:numId w:val="2"/>
        </w:numPr>
        <w:spacing w:after="60"/>
      </w:pPr>
      <w:r>
        <w:rPr>
          <w:rFonts w:ascii="Arial" w:cs="Arial" w:eastAsia="Arial" w:hAnsi="Arial"/>
          <w:sz w:val="22"/>
          <w:szCs w:val="22"/>
        </w:rPr>
        <w:t xml:space="preserve">RHS: dataSubLedgerTrans WHERE isPrimaryBasis &lt;&gt; 'Y' → shares by assetId</w:t>
      </w:r>
    </w:p>
    <w:p>
      <w:pPr>
        <w:pStyle w:val="ListParagraph"/>
        <w:numPr>
          <w:ilvl w:val="0"/>
          <w:numId w:val="2"/>
        </w:numPr>
        <w:spacing w:after="60"/>
      </w:pPr>
      <w:r>
        <w:rPr>
          <w:rFonts w:ascii="Arial" w:cs="Arial" w:eastAsia="Arial" w:hAnsi="Arial"/>
          <w:sz w:val="22"/>
          <w:szCs w:val="22"/>
        </w:rPr>
        <w:t xml:space="preserve">Variance: Any difference indicates a tax lot accounting discrepancy</w:t>
      </w:r>
    </w:p>
    <w:p>
      <w:pPr>
        <w:pStyle w:val="Heading3"/>
      </w:pPr>
      <w:r>
        <w:t xml:space="preserve">5.5.4 Position Roll-Up Validation</w:t>
      </w:r>
    </w:p>
    <w:p>
      <w:pPr>
        <w:spacing w:after="120" w:before="0"/>
      </w:pPr>
      <w:r>
        <w:rPr>
          <w:rFonts w:ascii="Arial" w:cs="Arial" w:eastAsia="Arial" w:hAnsi="Arial"/>
          <w:sz w:val="22"/>
          <w:szCs w:val="22"/>
        </w:rPr>
        <w:t xml:space="preserve">A summary footer validates that the sum of all position-level variances ties to the GL category variance from the Trial Balance:</w:t>
      </w:r>
    </w:p>
    <w:p>
      <w:pPr>
        <w:pStyle w:val="ListParagraph"/>
        <w:numPr>
          <w:ilvl w:val="0"/>
          <w:numId w:val="2"/>
        </w:numPr>
        <w:spacing w:after="60"/>
      </w:pPr>
      <w:r>
        <w:rPr>
          <w:rFonts w:ascii="Arial" w:cs="Arial" w:eastAsia="Arial" w:hAnsi="Arial"/>
          <w:sz w:val="22"/>
          <w:szCs w:val="22"/>
        </w:rPr>
        <w:t xml:space="preserve">Sum of Position Variances: Calculated from all visible position rows</w:t>
      </w:r>
    </w:p>
    <w:p>
      <w:pPr>
        <w:pStyle w:val="ListParagraph"/>
        <w:numPr>
          <w:ilvl w:val="0"/>
          <w:numId w:val="2"/>
        </w:numPr>
        <w:spacing w:after="60"/>
      </w:pPr>
      <w:r>
        <w:rPr>
          <w:rFonts w:ascii="Arial" w:cs="Arial" w:eastAsia="Arial" w:hAnsi="Arial"/>
          <w:sz w:val="22"/>
          <w:szCs w:val="22"/>
        </w:rPr>
        <w:t xml:space="preserve">GL Category Variance: Inherited from Trial Balance context</w:t>
      </w:r>
    </w:p>
    <w:p>
      <w:pPr>
        <w:pStyle w:val="ListParagraph"/>
        <w:numPr>
          <w:ilvl w:val="0"/>
          <w:numId w:val="2"/>
        </w:numPr>
        <w:spacing w:after="60"/>
      </w:pPr>
      <w:r>
        <w:rPr>
          <w:rFonts w:ascii="Arial" w:cs="Arial" w:eastAsia="Arial" w:hAnsi="Arial"/>
          <w:sz w:val="22"/>
          <w:szCs w:val="22"/>
        </w:rPr>
        <w:t xml:space="preserve">Tie-Out: Visual pass/fail indicator. Discrepancies may indicate unmapped positions or GL account classification issues.</w:t>
      </w:r>
    </w:p>
    <w:p>
      <w:pPr>
        <w:pStyle w:val="Heading2"/>
      </w:pPr>
      <w:r>
        <w:t xml:space="preserve">5.6 User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960"/>
      </w:tblGrid>
      <w:tr>
        <w:tc>
          <w:tcPr>
            <w:tcW w:type="dxa" w:w="28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Action</w:t>
            </w:r>
          </w:p>
        </w:tc>
        <w:tc>
          <w:tcPr>
            <w:tcW w:type="dxa" w:w="36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Behavior</w:t>
            </w:r>
          </w:p>
        </w:tc>
        <w:tc>
          <w:tcPr>
            <w:tcW w:type="dxa" w:w="29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Navigation</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Click position row</w:t>
            </w:r>
          </w:p>
        </w:tc>
        <w:tc>
          <w:tcPr>
            <w:tcW w:type="dxa" w:w="3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Selects position, updates AI panel with position-specific analysis</w:t>
            </w:r>
          </w:p>
        </w:tc>
        <w:tc>
          <w:tcPr>
            <w:tcW w:type="dxa" w:w="29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Stays on Position Drill-Down</w:t>
            </w:r>
          </w:p>
        </w:tc>
      </w:tr>
      <w:tr>
        <w:tc>
          <w:tcPr>
            <w:tcW w:type="dxa" w:w="28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Expand position row</w:t>
            </w:r>
          </w:p>
        </w:tc>
        <w:tc>
          <w:tcPr>
            <w:tcW w:type="dxa" w:w="36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Shows tax lot detail table for that security</w:t>
            </w:r>
          </w:p>
        </w:tc>
        <w:tc>
          <w:tcPr>
            <w:tcW w:type="dxa" w:w="296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Stays on page</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Click security identifier</w:t>
            </w:r>
          </w:p>
        </w:tc>
        <w:tc>
          <w:tcPr>
            <w:tcW w:type="dxa" w:w="3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Opens security reference detail modal showing refSecurity fields</w:t>
            </w:r>
          </w:p>
        </w:tc>
        <w:tc>
          <w:tcPr>
            <w:tcW w:type="dxa" w:w="29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Modal overlay</w:t>
            </w:r>
          </w:p>
        </w:tc>
      </w:tr>
      <w:tr>
        <w:tc>
          <w:tcPr>
            <w:tcW w:type="dxa" w:w="28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Toggle Basis Lot Check</w:t>
            </w:r>
          </w:p>
        </w:tc>
        <w:tc>
          <w:tcPr>
            <w:tcW w:type="dxa" w:w="36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Switches between category view and basis lot comparison view</w:t>
            </w:r>
          </w:p>
        </w:tc>
        <w:tc>
          <w:tcPr>
            <w:tcW w:type="dxa" w:w="296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Tab switch on same page</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Click breadcrumb: Trial Balance</w:t>
            </w:r>
          </w:p>
        </w:tc>
        <w:tc>
          <w:tcPr>
            <w:tcW w:type="dxa" w:w="3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Returns to Trial Balance with category context preserved</w:t>
            </w:r>
          </w:p>
        </w:tc>
        <w:tc>
          <w:tcPr>
            <w:tcW w:type="dxa" w:w="29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 Trial Balance</w:t>
            </w:r>
          </w:p>
        </w:tc>
      </w:tr>
      <w:tr>
        <w:tc>
          <w:tcPr>
            <w:tcW w:type="dxa" w:w="28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Click breadcrumb: NAV Dashboard</w:t>
            </w:r>
          </w:p>
        </w:tc>
        <w:tc>
          <w:tcPr>
            <w:tcW w:type="dxa" w:w="36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Returns to NAV Dashboard with fund selection preserved</w:t>
            </w:r>
          </w:p>
        </w:tc>
        <w:tc>
          <w:tcPr>
            <w:tcW w:type="dxa" w:w="296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 NAV Dashboard</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Export to Excel</w:t>
            </w:r>
          </w:p>
        </w:tc>
        <w:tc>
          <w:tcPr>
            <w:tcW w:type="dxa" w:w="3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Exports position grid with lot-level detail for all expanded rows</w:t>
            </w:r>
          </w:p>
        </w:tc>
        <w:tc>
          <w:tcPr>
            <w:tcW w:type="dxa" w:w="29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Download initiates</w:t>
            </w:r>
          </w:p>
        </w:tc>
      </w:tr>
      <w:tr>
        <w:tc>
          <w:tcPr>
            <w:tcW w:type="dxa" w:w="28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AI: Request Analysis</w:t>
            </w:r>
          </w:p>
        </w:tc>
        <w:tc>
          <w:tcPr>
            <w:tcW w:type="dxa" w:w="36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Triggers AI agent analysis for selected position/lot</w:t>
            </w:r>
          </w:p>
        </w:tc>
        <w:tc>
          <w:tcPr>
            <w:tcW w:type="dxa" w:w="296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AI panel updates</w:t>
            </w:r>
          </w:p>
        </w:tc>
      </w:tr>
    </w:tbl>
    <w:p>
      <w:pPr>
        <w:pStyle w:val="Heading2"/>
      </w:pPr>
      <w:r>
        <w:t xml:space="preserve">5.7 AI Commentary Integration</w:t>
      </w:r>
    </w:p>
    <w:p>
      <w:pPr>
        <w:spacing w:after="120" w:before="0"/>
      </w:pPr>
      <w:r>
        <w:rPr>
          <w:rFonts w:ascii="Arial" w:cs="Arial" w:eastAsia="Arial" w:hAnsi="Arial"/>
          <w:sz w:val="22"/>
          <w:szCs w:val="22"/>
        </w:rPr>
        <w:t xml:space="preserve">At the position level, AI analysis is most granular and actionable:</w:t>
      </w:r>
    </w:p>
    <w:p>
      <w:pPr>
        <w:pStyle w:val="ListParagraph"/>
        <w:numPr>
          <w:ilvl w:val="0"/>
          <w:numId w:val="2"/>
        </w:numPr>
        <w:spacing w:after="60"/>
      </w:pPr>
      <w:r>
        <w:rPr>
          <w:rFonts w:ascii="Arial" w:cs="Arial" w:eastAsia="Arial" w:hAnsi="Arial"/>
          <w:sz w:val="22"/>
          <w:szCs w:val="22"/>
        </w:rPr>
        <w:t xml:space="preserve">Position-Level Root Cause: Specific explanation per security (e.g., "CUSIP 789456123: Day count convention mismatch. CPU uses ACT/ACT (32 accrual days), Incumbent uses 30/360 (30 accrual days). Expected variance: $15,208.33")</w:t>
      </w:r>
    </w:p>
    <w:p>
      <w:pPr>
        <w:pStyle w:val="ListParagraph"/>
        <w:numPr>
          <w:ilvl w:val="0"/>
          <w:numId w:val="2"/>
        </w:numPr>
        <w:spacing w:after="60"/>
      </w:pPr>
      <w:r>
        <w:rPr>
          <w:rFonts w:ascii="Arial" w:cs="Arial" w:eastAsia="Arial" w:hAnsi="Arial"/>
          <w:sz w:val="22"/>
          <w:szCs w:val="22"/>
        </w:rPr>
        <w:t xml:space="preserve">Lot-Level Anomaly Detection: Flags specific lots with unusual variances relative to peers</w:t>
      </w:r>
    </w:p>
    <w:p>
      <w:pPr>
        <w:pStyle w:val="ListParagraph"/>
        <w:numPr>
          <w:ilvl w:val="0"/>
          <w:numId w:val="2"/>
        </w:numPr>
        <w:spacing w:after="60"/>
      </w:pPr>
      <w:r>
        <w:rPr>
          <w:rFonts w:ascii="Arial" w:cs="Arial" w:eastAsia="Arial" w:hAnsi="Arial"/>
          <w:sz w:val="22"/>
          <w:szCs w:val="22"/>
        </w:rPr>
        <w:t xml:space="preserve">Cross-Position Pattern: Identifies if multiple positions share the same root cause (e.g., all fixed income positions with same day count issue)</w:t>
      </w:r>
    </w:p>
    <w:p>
      <w:pPr>
        <w:pStyle w:val="ListParagraph"/>
        <w:numPr>
          <w:ilvl w:val="0"/>
          <w:numId w:val="2"/>
        </w:numPr>
        <w:spacing w:after="60"/>
      </w:pPr>
      <w:r>
        <w:rPr>
          <w:rFonts w:ascii="Arial" w:cs="Arial" w:eastAsia="Arial" w:hAnsi="Arial"/>
          <w:sz w:val="22"/>
          <w:szCs w:val="22"/>
        </w:rPr>
        <w:t xml:space="preserve">Resolution Recommendation: Specific action items (e.g., "Update day count convention in ElectronDSL rule for security type BOND to ACT/ACT")</w:t>
      </w:r>
    </w:p>
    <w:p>
      <w:pPr>
        <w:pStyle w:val="ListParagraph"/>
        <w:numPr>
          <w:ilvl w:val="0"/>
          <w:numId w:val="2"/>
        </w:numPr>
        <w:spacing w:after="60"/>
      </w:pPr>
      <w:r>
        <w:rPr>
          <w:rFonts w:ascii="Arial" w:cs="Arial" w:eastAsia="Arial" w:hAnsi="Arial"/>
          <w:sz w:val="22"/>
          <w:szCs w:val="22"/>
        </w:rPr>
        <w:t xml:space="preserve">Confidence Scoring: Per-position confidence with evidence chain</w:t>
      </w:r>
    </w:p>
    <w:p>
      <w:pPr>
        <w:pStyle w:val="Heading2"/>
      </w:pPr>
      <w:r>
        <w:t xml:space="preserve">5.8 Data Requirements</w:t>
      </w:r>
    </w:p>
    <w:p>
      <w:pPr>
        <w:spacing w:after="120" w:before="0"/>
      </w:pPr>
      <w:r>
        <w:rPr>
          <w:rFonts w:ascii="Arial" w:cs="Arial" w:eastAsia="Arial" w:hAnsi="Arial"/>
          <w:b/>
          <w:bCs/>
          <w:sz w:val="22"/>
          <w:szCs w:val="22"/>
        </w:rPr>
        <w:t xml:space="preserve">Position Compare (primary grid):</w:t>
      </w:r>
    </w:p>
    <w:p>
      <w:pPr>
        <w:pStyle w:val="ListParagraph"/>
        <w:numPr>
          <w:ilvl w:val="0"/>
          <w:numId w:val="2"/>
        </w:numPr>
        <w:spacing w:after="60"/>
      </w:pPr>
      <w:r>
        <w:rPr>
          <w:rFonts w:ascii="Arial" w:cs="Arial" w:eastAsia="Arial" w:hAnsi="Arial"/>
          <w:sz w:val="22"/>
          <w:szCs w:val="22"/>
        </w:rPr>
        <w:t xml:space="preserve">LHS: SELECT * FROM dataSubLedgerPosition WHERE userBank = {incumbent} AND account = {account} AND valuationDt = {date} AND isPrimaryBasis = 'Y'</w:t>
      </w:r>
    </w:p>
    <w:p>
      <w:pPr>
        <w:pStyle w:val="ListParagraph"/>
        <w:numPr>
          <w:ilvl w:val="0"/>
          <w:numId w:val="2"/>
        </w:numPr>
        <w:spacing w:after="60"/>
      </w:pPr>
      <w:r>
        <w:rPr>
          <w:rFonts w:ascii="Arial" w:cs="Arial" w:eastAsia="Arial" w:hAnsi="Arial"/>
          <w:sz w:val="22"/>
          <w:szCs w:val="22"/>
        </w:rPr>
        <w:t xml:space="preserve">RHS: SELECT * FROM dataSubLedgerPosition WHERE userBank = 'BNY' AND account = {account} AND valuationDt = {date} AND isPrimaryBasis = 'Y'</w:t>
      </w:r>
    </w:p>
    <w:p>
      <w:pPr>
        <w:pStyle w:val="ListParagraph"/>
        <w:numPr>
          <w:ilvl w:val="0"/>
          <w:numId w:val="2"/>
        </w:numPr>
        <w:spacing w:after="60"/>
      </w:pPr>
      <w:r>
        <w:rPr>
          <w:rFonts w:ascii="Arial" w:cs="Arial" w:eastAsia="Arial" w:hAnsi="Arial"/>
          <w:sz w:val="22"/>
          <w:szCs w:val="22"/>
        </w:rPr>
        <w:t xml:space="preserve">Join: ON valuationDt, account, shareClass, assetId, longShortInd</w:t>
      </w:r>
    </w:p>
    <w:p>
      <w:pPr>
        <w:pStyle w:val="ListParagraph"/>
        <w:numPr>
          <w:ilvl w:val="0"/>
          <w:numId w:val="2"/>
        </w:numPr>
        <w:spacing w:after="60"/>
      </w:pPr>
      <w:r>
        <w:rPr>
          <w:rFonts w:ascii="Arial" w:cs="Arial" w:eastAsia="Arial" w:hAnsi="Arial"/>
          <w:sz w:val="22"/>
          <w:szCs w:val="22"/>
        </w:rPr>
        <w:t xml:space="preserve">Filter: GL category mapping determines which positions are shown based on eagleLedgerAcct classification</w:t>
      </w:r>
    </w:p>
    <w:p>
      <w:pPr>
        <w:spacing w:after="120" w:before="0"/>
      </w:pPr>
      <w:r>
        <w:rPr>
          <w:rFonts w:ascii="Arial" w:cs="Arial" w:eastAsia="Arial" w:hAnsi="Arial"/>
          <w:b/>
          <w:bCs/>
          <w:sz w:val="22"/>
          <w:szCs w:val="22"/>
        </w:rPr>
        <w:t xml:space="preserve">Tax Lot Detail (expandable):</w:t>
      </w:r>
    </w:p>
    <w:p>
      <w:pPr>
        <w:pStyle w:val="ListParagraph"/>
        <w:numPr>
          <w:ilvl w:val="0"/>
          <w:numId w:val="2"/>
        </w:numPr>
        <w:spacing w:after="60"/>
      </w:pPr>
      <w:r>
        <w:rPr>
          <w:rFonts w:ascii="Arial" w:cs="Arial" w:eastAsia="Arial" w:hAnsi="Arial"/>
          <w:sz w:val="22"/>
          <w:szCs w:val="22"/>
        </w:rPr>
        <w:t xml:space="preserve">LHS: SELECT * FROM dataSubLedgerTrans WHERE userBank = {incumbent} AND account = {account} AND assetId = {selected}</w:t>
      </w:r>
    </w:p>
    <w:p>
      <w:pPr>
        <w:pStyle w:val="ListParagraph"/>
        <w:numPr>
          <w:ilvl w:val="0"/>
          <w:numId w:val="2"/>
        </w:numPr>
        <w:spacing w:after="60"/>
      </w:pPr>
      <w:r>
        <w:rPr>
          <w:rFonts w:ascii="Arial" w:cs="Arial" w:eastAsia="Arial" w:hAnsi="Arial"/>
          <w:sz w:val="22"/>
          <w:szCs w:val="22"/>
        </w:rPr>
        <w:t xml:space="preserve">RHS: SELECT * FROM dataSubLedgerTrans WHERE userBank = 'BNY' AND account = {account} AND assetId = {selected}</w:t>
      </w:r>
    </w:p>
    <w:p>
      <w:pPr>
        <w:pStyle w:val="ListParagraph"/>
        <w:numPr>
          <w:ilvl w:val="0"/>
          <w:numId w:val="2"/>
        </w:numPr>
        <w:spacing w:after="60"/>
      </w:pPr>
      <w:r>
        <w:rPr>
          <w:rFonts w:ascii="Arial" w:cs="Arial" w:eastAsia="Arial" w:hAnsi="Arial"/>
          <w:sz w:val="22"/>
          <w:szCs w:val="22"/>
        </w:rPr>
        <w:t xml:space="preserve">Join: ON valuationDt, account, shareClass, assetId, longShortInd, transactionId</w:t>
      </w:r>
    </w:p>
    <w:p>
      <w:r>
        <w:br w:type="page"/>
      </w:r>
    </w:p>
    <w:p>
      <w:pPr>
        <w:pStyle w:val="Heading1"/>
      </w:pPr>
      <w:r>
        <w:t xml:space="preserve">6. End-to-End Flow Example</w:t>
      </w:r>
    </w:p>
    <w:p>
      <w:pPr>
        <w:spacing w:after="120" w:before="0"/>
      </w:pPr>
      <w:r>
        <w:rPr>
          <w:rFonts w:ascii="Arial" w:cs="Arial" w:eastAsia="Arial" w:hAnsi="Arial"/>
          <w:sz w:val="22"/>
          <w:szCs w:val="22"/>
        </w:rPr>
        <w:t xml:space="preserve">This section traces a complete investigation scenario through all four screens, demonstrating the progressive disclosure pattern and data lineage.</w:t>
      </w:r>
    </w:p>
    <w:p>
      <w:pPr>
        <w:pStyle w:val="Heading2"/>
      </w:pPr>
      <w:r>
        <w:t xml:space="preserve">6.1 Scenario</w:t>
      </w:r>
    </w:p>
    <w:p>
      <w:pPr>
        <w:spacing w:after="120" w:before="0"/>
      </w:pPr>
      <w:r>
        <w:rPr>
          <w:rFonts w:ascii="Arial" w:cs="Arial" w:eastAsia="Arial" w:hAnsi="Arial"/>
          <w:sz w:val="22"/>
          <w:szCs w:val="22"/>
        </w:rPr>
        <w:t xml:space="preserve">A Conversion Manager investigating a NAV break for account AC0002 on valuation date 2026-02-10 within the Vanguard Fixed Income Migration event.</w:t>
      </w:r>
    </w:p>
    <w:p>
      <w:pPr>
        <w:pStyle w:val="Heading2"/>
      </w:pPr>
      <w:r>
        <w:t xml:space="preserve">6.2 Step-by-Step Flow</w:t>
      </w:r>
    </w:p>
    <w:p>
      <w:pPr>
        <w:spacing w:after="120" w:before="0"/>
      </w:pPr>
      <w:r>
        <w:rPr>
          <w:rFonts w:ascii="Arial" w:cs="Arial" w:eastAsia="Arial" w:hAnsi="Arial"/>
          <w:b/>
          <w:bCs/>
          <w:sz w:val="22"/>
          <w:szCs w:val="22"/>
        </w:rPr>
        <w:t xml:space="preserve">Step 1: Event Dashboard</w:t>
      </w:r>
    </w:p>
    <w:p>
      <w:pPr>
        <w:pStyle w:val="ListParagraph"/>
        <w:numPr>
          <w:ilvl w:val="0"/>
          <w:numId w:val="2"/>
        </w:numPr>
        <w:spacing w:after="60"/>
      </w:pPr>
      <w:r>
        <w:rPr>
          <w:rFonts w:ascii="Arial" w:cs="Arial" w:eastAsia="Arial" w:hAnsi="Arial"/>
          <w:sz w:val="22"/>
          <w:szCs w:val="22"/>
        </w:rPr>
        <w:t xml:space="preserve">User sees EVT-2026-001 (Vanguard Fixed Income Migration) card showing 12 of 15 funds passed, 3 with attention.</w:t>
      </w:r>
    </w:p>
    <w:p>
      <w:pPr>
        <w:pStyle w:val="ListParagraph"/>
        <w:numPr>
          <w:ilvl w:val="0"/>
          <w:numId w:val="2"/>
        </w:numPr>
        <w:spacing w:after="60"/>
      </w:pPr>
      <w:r>
        <w:rPr>
          <w:rFonts w:ascii="Arial" w:cs="Arial" w:eastAsia="Arial" w:hAnsi="Arial"/>
          <w:sz w:val="22"/>
          <w:szCs w:val="22"/>
        </w:rPr>
        <w:t xml:space="preserve">The 7-day sparkline shows increasing break trend.</w:t>
      </w:r>
    </w:p>
    <w:p>
      <w:pPr>
        <w:pStyle w:val="ListParagraph"/>
        <w:numPr>
          <w:ilvl w:val="0"/>
          <w:numId w:val="2"/>
        </w:numPr>
        <w:spacing w:after="60"/>
      </w:pPr>
      <w:r>
        <w:rPr>
          <w:rFonts w:ascii="Arial" w:cs="Arial" w:eastAsia="Arial" w:hAnsi="Arial"/>
          <w:sz w:val="22"/>
          <w:szCs w:val="22"/>
        </w:rPr>
        <w:t xml:space="preserve">User clicks the event card to navigate to NAV Dashboard.</w:t>
      </w:r>
    </w:p>
    <w:p>
      <w:pPr>
        <w:spacing w:after="120" w:before="0"/>
      </w:pPr>
      <w:r>
        <w:rPr>
          <w:rFonts w:ascii="Arial" w:cs="Arial" w:eastAsia="Arial" w:hAnsi="Arial"/>
          <w:b/>
          <w:bCs/>
          <w:sz w:val="22"/>
          <w:szCs w:val="22"/>
        </w:rPr>
        <w:t xml:space="preserve">Step 2: NAV Dashboard</w:t>
      </w:r>
    </w:p>
    <w:p>
      <w:pPr>
        <w:pStyle w:val="ListParagraph"/>
        <w:numPr>
          <w:ilvl w:val="0"/>
          <w:numId w:val="2"/>
        </w:numPr>
        <w:spacing w:after="60"/>
      </w:pPr>
      <w:r>
        <w:rPr>
          <w:rFonts w:ascii="Arial" w:cs="Arial" w:eastAsia="Arial" w:hAnsi="Arial"/>
          <w:sz w:val="22"/>
          <w:szCs w:val="22"/>
        </w:rPr>
        <w:t xml:space="preserve">NAV Compare grid loads for valuation date 2026-02-10.</w:t>
      </w:r>
    </w:p>
    <w:p>
      <w:pPr>
        <w:pStyle w:val="ListParagraph"/>
        <w:numPr>
          <w:ilvl w:val="0"/>
          <w:numId w:val="2"/>
        </w:numPr>
        <w:spacing w:after="60"/>
      </w:pPr>
      <w:r>
        <w:rPr>
          <w:rFonts w:ascii="Arial" w:cs="Arial" w:eastAsia="Arial" w:hAnsi="Arial"/>
          <w:sz w:val="22"/>
          <w:szCs w:val="22"/>
        </w:rPr>
        <w:t xml:space="preserve">AC0002 shows: Incumbent TNA = $2,233,943.99, BNY TNA = $2,257,400.99, TNA Difference = ($17,857.00), red status.</w:t>
      </w:r>
    </w:p>
    <w:p>
      <w:pPr>
        <w:pStyle w:val="ListParagraph"/>
        <w:numPr>
          <w:ilvl w:val="0"/>
          <w:numId w:val="2"/>
        </w:numPr>
        <w:spacing w:after="60"/>
      </w:pPr>
      <w:r>
        <w:rPr>
          <w:rFonts w:ascii="Arial" w:cs="Arial" w:eastAsia="Arial" w:hAnsi="Arial"/>
          <w:sz w:val="22"/>
          <w:szCs w:val="22"/>
        </w:rPr>
        <w:t xml:space="preserve">User expands AC0002 row to see inline cross-checks:</w:t>
      </w:r>
    </w:p>
    <w:p>
      <w:pPr>
        <w:pStyle w:val="ListParagraph"/>
        <w:numPr>
          <w:ilvl w:val="1"/>
          <w:numId w:val="2"/>
        </w:numPr>
        <w:spacing w:after="60"/>
      </w:pPr>
      <w:r>
        <w:rPr>
          <w:rFonts w:ascii="Arial" w:cs="Arial" w:eastAsia="Arial" w:hAnsi="Arial"/>
          <w:sz w:val="22"/>
          <w:szCs w:val="22"/>
        </w:rPr>
        <w:t xml:space="preserve">Ledger BS Compare Check shows TNA Difference of 2,673.56 — indicating an internal BNY ledger discrepancy.</w:t>
      </w:r>
    </w:p>
    <w:p>
      <w:pPr>
        <w:pStyle w:val="ListParagraph"/>
        <w:numPr>
          <w:ilvl w:val="1"/>
          <w:numId w:val="2"/>
        </w:numPr>
        <w:spacing w:after="60"/>
      </w:pPr>
      <w:r>
        <w:rPr>
          <w:rFonts w:ascii="Arial" w:cs="Arial" w:eastAsia="Arial" w:hAnsi="Arial"/>
          <w:sz w:val="22"/>
          <w:szCs w:val="22"/>
        </w:rPr>
        <w:t xml:space="preserve">Ledger INCST Compare Check shows same 2,673.56 variance.</w:t>
      </w:r>
    </w:p>
    <w:p>
      <w:pPr>
        <w:pStyle w:val="ListParagraph"/>
        <w:numPr>
          <w:ilvl w:val="0"/>
          <w:numId w:val="2"/>
        </w:numPr>
        <w:spacing w:after="60"/>
      </w:pPr>
      <w:r>
        <w:rPr>
          <w:rFonts w:ascii="Arial" w:cs="Arial" w:eastAsia="Arial" w:hAnsi="Arial"/>
          <w:sz w:val="22"/>
          <w:szCs w:val="22"/>
        </w:rPr>
        <w:t xml:space="preserve">AI Commentary panel notes: "Price breaks on bond securities has caused unrealized variance on the L3 position recon, leading to ledger differences in unrealized on the L2 ledger recon."</w:t>
      </w:r>
    </w:p>
    <w:p>
      <w:pPr>
        <w:pStyle w:val="ListParagraph"/>
        <w:numPr>
          <w:ilvl w:val="0"/>
          <w:numId w:val="2"/>
        </w:numPr>
        <w:spacing w:after="60"/>
      </w:pPr>
      <w:r>
        <w:rPr>
          <w:rFonts w:ascii="Arial" w:cs="Arial" w:eastAsia="Arial" w:hAnsi="Arial"/>
          <w:sz w:val="22"/>
          <w:szCs w:val="22"/>
        </w:rPr>
        <w:t xml:space="preserve">User double-clicks AC0002 to drill into Trial Balance.</w:t>
      </w:r>
    </w:p>
    <w:p>
      <w:pPr>
        <w:spacing w:after="120" w:before="0"/>
      </w:pPr>
      <w:r>
        <w:rPr>
          <w:rFonts w:ascii="Arial" w:cs="Arial" w:eastAsia="Arial" w:hAnsi="Arial"/>
          <w:b/>
          <w:bCs/>
          <w:sz w:val="22"/>
          <w:szCs w:val="22"/>
        </w:rPr>
        <w:t xml:space="preserve">Step 3: Trial Balance (Ledger Drill-Down)</w:t>
      </w:r>
    </w:p>
    <w:p>
      <w:pPr>
        <w:pStyle w:val="ListParagraph"/>
        <w:numPr>
          <w:ilvl w:val="0"/>
          <w:numId w:val="2"/>
        </w:numPr>
        <w:spacing w:after="60"/>
      </w:pPr>
      <w:r>
        <w:rPr>
          <w:rFonts w:ascii="Arial" w:cs="Arial" w:eastAsia="Arial" w:hAnsi="Arial"/>
          <w:sz w:val="22"/>
          <w:szCs w:val="22"/>
        </w:rPr>
        <w:t xml:space="preserve">Context header shows: AC0002, 2026-02-10, NAV Variance: ($17,857.00).</w:t>
      </w:r>
    </w:p>
    <w:p>
      <w:pPr>
        <w:pStyle w:val="ListParagraph"/>
        <w:numPr>
          <w:ilvl w:val="0"/>
          <w:numId w:val="2"/>
        </w:numPr>
        <w:spacing w:after="60"/>
      </w:pPr>
      <w:r>
        <w:rPr>
          <w:rFonts w:ascii="Arial" w:cs="Arial" w:eastAsia="Arial" w:hAnsi="Arial"/>
          <w:sz w:val="22"/>
          <w:szCs w:val="22"/>
        </w:rPr>
        <w:t xml:space="preserve">Ledger BS Compare grid shows categorized balances:</w:t>
      </w:r>
    </w:p>
    <w:p>
      <w:pPr>
        <w:pStyle w:val="ListParagraph"/>
        <w:numPr>
          <w:ilvl w:val="1"/>
          <w:numId w:val="2"/>
        </w:numPr>
        <w:spacing w:after="60"/>
      </w:pPr>
      <w:r>
        <w:rPr>
          <w:rFonts w:ascii="Arial" w:cs="Arial" w:eastAsia="Arial" w:hAnsi="Arial"/>
          <w:sz w:val="22"/>
          <w:szCs w:val="22"/>
        </w:rPr>
        <w:t xml:space="preserve">Cash: Incumbent $142,666.00, BNY $138,498.00, Diff $4,168.00, Validation: amber</w:t>
      </w:r>
    </w:p>
    <w:p>
      <w:pPr>
        <w:pStyle w:val="ListParagraph"/>
        <w:numPr>
          <w:ilvl w:val="1"/>
          <w:numId w:val="2"/>
        </w:numPr>
        <w:spacing w:after="60"/>
      </w:pPr>
      <w:r>
        <w:rPr>
          <w:rFonts w:ascii="Arial" w:cs="Arial" w:eastAsia="Arial" w:hAnsi="Arial"/>
          <w:sz w:val="22"/>
          <w:szCs w:val="22"/>
        </w:rPr>
        <w:t xml:space="preserve">Investment Cost: Incumbent $1,420,817.00, BNY $1,420,620.00, Diff $197.00, Validation: green</w:t>
      </w:r>
    </w:p>
    <w:p>
      <w:pPr>
        <w:pStyle w:val="ListParagraph"/>
        <w:numPr>
          <w:ilvl w:val="1"/>
          <w:numId w:val="2"/>
        </w:numPr>
        <w:spacing w:after="60"/>
      </w:pPr>
      <w:r>
        <w:rPr>
          <w:rFonts w:ascii="Arial" w:cs="Arial" w:eastAsia="Arial" w:hAnsi="Arial"/>
          <w:sz w:val="22"/>
          <w:szCs w:val="22"/>
        </w:rPr>
        <w:t xml:space="preserve">Investment Urgl: Incumbent $394,423.44, BNY $417,396.02, Diff ($22,972.58), Validation: red</w:t>
      </w:r>
    </w:p>
    <w:p>
      <w:pPr>
        <w:pStyle w:val="ListParagraph"/>
        <w:numPr>
          <w:ilvl w:val="1"/>
          <w:numId w:val="2"/>
        </w:numPr>
        <w:spacing w:after="60"/>
      </w:pPr>
      <w:r>
        <w:rPr>
          <w:rFonts w:ascii="Arial" w:cs="Arial" w:eastAsia="Arial" w:hAnsi="Arial"/>
          <w:sz w:val="22"/>
          <w:szCs w:val="22"/>
        </w:rPr>
        <w:t xml:space="preserve">Futures Margin: Incumbent $85,935.00, BNY $85,940.00, Diff ($5.00), Validation: green</w:t>
      </w:r>
    </w:p>
    <w:p>
      <w:pPr>
        <w:pStyle w:val="ListParagraph"/>
        <w:numPr>
          <w:ilvl w:val="1"/>
          <w:numId w:val="2"/>
        </w:numPr>
        <w:spacing w:after="60"/>
      </w:pPr>
      <w:r>
        <w:rPr>
          <w:rFonts w:ascii="Arial" w:cs="Arial" w:eastAsia="Arial" w:hAnsi="Arial"/>
          <w:sz w:val="22"/>
          <w:szCs w:val="22"/>
        </w:rPr>
        <w:t xml:space="preserve">Dividend RecPay: Incumbent $43,698.01, BNY $41,362.00, Diff $1,777.02, Validation: amber</w:t>
      </w:r>
    </w:p>
    <w:p>
      <w:pPr>
        <w:pStyle w:val="ListParagraph"/>
        <w:numPr>
          <w:ilvl w:val="1"/>
          <w:numId w:val="2"/>
        </w:numPr>
        <w:spacing w:after="60"/>
      </w:pPr>
      <w:r>
        <w:rPr>
          <w:rFonts w:ascii="Arial" w:cs="Arial" w:eastAsia="Arial" w:hAnsi="Arial"/>
          <w:sz w:val="22"/>
          <w:szCs w:val="22"/>
        </w:rPr>
        <w:t xml:space="preserve">Interest RecPay: Incumbent $139,778.00, BNY $143,461.00, Diff ($3,673.00), Validation: amber</w:t>
      </w:r>
    </w:p>
    <w:p>
      <w:pPr>
        <w:pStyle w:val="ListParagraph"/>
        <w:numPr>
          <w:ilvl w:val="1"/>
          <w:numId w:val="2"/>
        </w:numPr>
        <w:spacing w:after="60"/>
      </w:pPr>
      <w:r>
        <w:rPr>
          <w:rFonts w:ascii="Arial" w:cs="Arial" w:eastAsia="Arial" w:hAnsi="Arial"/>
          <w:sz w:val="22"/>
          <w:szCs w:val="22"/>
        </w:rPr>
        <w:t xml:space="preserve">Expense RecPay: Incumbent ($9,760.01), BNY ($9,758.03), Diff ($1.98), Validation: green</w:t>
      </w:r>
    </w:p>
    <w:p>
      <w:pPr>
        <w:pStyle w:val="ListParagraph"/>
        <w:numPr>
          <w:ilvl w:val="0"/>
          <w:numId w:val="2"/>
        </w:numPr>
        <w:spacing w:after="60"/>
      </w:pPr>
      <w:r>
        <w:rPr>
          <w:rFonts w:ascii="Arial" w:cs="Arial" w:eastAsia="Arial" w:hAnsi="Arial"/>
          <w:sz w:val="22"/>
          <w:szCs w:val="22"/>
        </w:rPr>
        <w:t xml:space="preserve">Waterfall chart visually shows Investment Urgl as the dominant red bar.</w:t>
      </w:r>
    </w:p>
    <w:p>
      <w:pPr>
        <w:pStyle w:val="ListParagraph"/>
        <w:numPr>
          <w:ilvl w:val="0"/>
          <w:numId w:val="2"/>
        </w:numPr>
        <w:spacing w:after="60"/>
      </w:pPr>
      <w:r>
        <w:rPr>
          <w:rFonts w:ascii="Arial" w:cs="Arial" w:eastAsia="Arial" w:hAnsi="Arial"/>
          <w:sz w:val="22"/>
          <w:szCs w:val="22"/>
        </w:rPr>
        <w:t xml:space="preserve">User double-clicks "Investment Urgl" row to drill into positions.</w:t>
      </w:r>
    </w:p>
    <w:p>
      <w:pPr>
        <w:spacing w:after="120" w:before="0"/>
      </w:pPr>
      <w:r>
        <w:rPr>
          <w:rFonts w:ascii="Arial" w:cs="Arial" w:eastAsia="Arial" w:hAnsi="Arial"/>
          <w:b/>
          <w:bCs/>
          <w:sz w:val="22"/>
          <w:szCs w:val="22"/>
        </w:rPr>
        <w:t xml:space="preserve">Step 4: Position Drill-Down</w:t>
      </w:r>
    </w:p>
    <w:p>
      <w:pPr>
        <w:pStyle w:val="ListParagraph"/>
        <w:numPr>
          <w:ilvl w:val="0"/>
          <w:numId w:val="2"/>
        </w:numPr>
        <w:spacing w:after="60"/>
      </w:pPr>
      <w:r>
        <w:rPr>
          <w:rFonts w:ascii="Arial" w:cs="Arial" w:eastAsia="Arial" w:hAnsi="Arial"/>
          <w:sz w:val="22"/>
          <w:szCs w:val="22"/>
        </w:rPr>
        <w:t xml:space="preserve">Context header shows: AC0002, 2026-02-10, Category: Investment Urgl, Category Variance: ($22,972.58).</w:t>
      </w:r>
    </w:p>
    <w:p>
      <w:pPr>
        <w:pStyle w:val="ListParagraph"/>
        <w:numPr>
          <w:ilvl w:val="0"/>
          <w:numId w:val="2"/>
        </w:numPr>
        <w:spacing w:after="60"/>
      </w:pPr>
      <w:r>
        <w:rPr>
          <w:rFonts w:ascii="Arial" w:cs="Arial" w:eastAsia="Arial" w:hAnsi="Arial"/>
          <w:sz w:val="22"/>
          <w:szCs w:val="22"/>
        </w:rPr>
        <w:t xml:space="preserve">Position grid shows all securities with unrealized gain/loss comparison:</w:t>
      </w:r>
    </w:p>
    <w:p>
      <w:pPr>
        <w:pStyle w:val="ListParagraph"/>
        <w:numPr>
          <w:ilvl w:val="1"/>
          <w:numId w:val="2"/>
        </w:numPr>
        <w:spacing w:after="60"/>
      </w:pPr>
      <w:r>
        <w:rPr>
          <w:rFonts w:ascii="Arial" w:cs="Arial" w:eastAsia="Arial" w:hAnsi="Arial"/>
          <w:sz w:val="22"/>
          <w:szCs w:val="22"/>
        </w:rPr>
        <w:t xml:space="preserve">CUSIP 789456123 (Corporate Bond 5.25%): posUnrealizedBase Incumbent = $42,350.00, BNY = $27,150.00, Variance = $15,200.00</w:t>
      </w:r>
    </w:p>
    <w:p>
      <w:pPr>
        <w:pStyle w:val="ListParagraph"/>
        <w:numPr>
          <w:ilvl w:val="1"/>
          <w:numId w:val="2"/>
        </w:numPr>
        <w:spacing w:after="60"/>
      </w:pPr>
      <w:r>
        <w:rPr>
          <w:rFonts w:ascii="Arial" w:cs="Arial" w:eastAsia="Arial" w:hAnsi="Arial"/>
          <w:sz w:val="22"/>
          <w:szCs w:val="22"/>
        </w:rPr>
        <w:t xml:space="preserve">CUSIP 456789012 (Govt Bond 3.75%): posUnrealizedBase Incumbent = $18,900.00, BNY = $12,100.00, Variance = $6,800.00</w:t>
      </w:r>
    </w:p>
    <w:p>
      <w:pPr>
        <w:pStyle w:val="ListParagraph"/>
        <w:numPr>
          <w:ilvl w:val="0"/>
          <w:numId w:val="2"/>
        </w:numPr>
        <w:spacing w:after="60"/>
      </w:pPr>
      <w:r>
        <w:rPr>
          <w:rFonts w:ascii="Arial" w:cs="Arial" w:eastAsia="Arial" w:hAnsi="Arial"/>
          <w:sz w:val="22"/>
          <w:szCs w:val="22"/>
        </w:rPr>
        <w:t xml:space="preserve">User expands CUSIP 789456123 to see 3 tax lots with individual unrealized variances.</w:t>
      </w:r>
    </w:p>
    <w:p>
      <w:pPr>
        <w:pStyle w:val="ListParagraph"/>
        <w:numPr>
          <w:ilvl w:val="0"/>
          <w:numId w:val="2"/>
        </w:numPr>
        <w:spacing w:after="60"/>
      </w:pPr>
      <w:r>
        <w:rPr>
          <w:rFonts w:ascii="Arial" w:cs="Arial" w:eastAsia="Arial" w:hAnsi="Arial"/>
          <w:sz w:val="22"/>
          <w:szCs w:val="22"/>
        </w:rPr>
        <w:t xml:space="preserve">AI panel shows: "Day count convention mismatch. CPU uses ACT/ACT, Incumbent uses 30/360 for corporate bonds. This affects the accrual calculation which flows through to unrealized. Confidence: 91%. Similar breaks found in Fund DEF (Jan 2026) and Fund GHI (Dec 2025)."</w:t>
      </w:r>
    </w:p>
    <w:p>
      <w:r>
        <w:br w:type="page"/>
      </w:r>
    </w:p>
    <w:p>
      <w:pPr>
        <w:pStyle w:val="Heading1"/>
      </w:pPr>
      <w:r>
        <w:t xml:space="preserve">7. Data Pipeline &amp; Validation Execution</w:t>
      </w:r>
    </w:p>
    <w:p>
      <w:pPr>
        <w:pStyle w:val="Heading2"/>
      </w:pPr>
      <w:r>
        <w:t xml:space="preserve">7.1 Validation Execution Sequence</w:t>
      </w:r>
    </w:p>
    <w:p>
      <w:pPr>
        <w:spacing w:after="120" w:before="0"/>
      </w:pPr>
      <w:r>
        <w:rPr>
          <w:rFonts w:ascii="Arial" w:cs="Arial" w:eastAsia="Arial" w:hAnsi="Arial"/>
          <w:sz w:val="22"/>
          <w:szCs w:val="22"/>
        </w:rPr>
        <w:t xml:space="preserve">When a user triggers "Run Validation" from the NAV Dashboard, the following checks execute in sequence for each fund in the event: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2200"/>
        <w:gridCol w:w="2400"/>
        <w:gridCol w:w="2160"/>
      </w:tblGrid>
      <w:tr>
        <w:tc>
          <w:tcPr>
            <w:tcW w:type="dxa" w:w="8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Order</w:t>
            </w:r>
          </w:p>
        </w:tc>
        <w:tc>
          <w:tcPr>
            <w:tcW w:type="dxa" w:w="18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Check</w:t>
            </w:r>
          </w:p>
        </w:tc>
        <w:tc>
          <w:tcPr>
            <w:tcW w:type="dxa" w:w="22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Screen</w:t>
            </w:r>
          </w:p>
        </w:tc>
        <w:tc>
          <w:tcPr>
            <w:tcW w:type="dxa" w:w="24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LHS → RHS</w:t>
            </w:r>
          </w:p>
        </w:tc>
        <w:tc>
          <w:tcPr>
            <w:tcW w:type="dxa" w:w="21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Dependency</w:t>
            </w:r>
          </w:p>
        </w:tc>
      </w:tr>
      <w:tr>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1</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NAV to Ledger</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NAV Dashboard</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dataNav → dataLedger</w:t>
            </w:r>
          </w:p>
        </w:tc>
        <w:tc>
          <w:tcPr>
            <w:tcW w:type="dxa" w:w="21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None</w:t>
            </w:r>
          </w:p>
        </w:tc>
      </w:tr>
      <w:tr>
        <w:tc>
          <w:tcPr>
            <w:tcW w:type="dxa" w:w="8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2</w:t>
            </w:r>
          </w:p>
        </w:tc>
        <w:tc>
          <w:tcPr>
            <w:tcW w:type="dxa" w:w="18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Ledger BS to INCST</w:t>
            </w:r>
          </w:p>
        </w:tc>
        <w:tc>
          <w:tcPr>
            <w:tcW w:type="dxa" w:w="22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NAV Dashboard (expand)</w:t>
            </w:r>
          </w:p>
        </w:tc>
        <w:tc>
          <w:tcPr>
            <w:tcW w:type="dxa" w:w="24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dataLedger BS → dataLedger INCST</w:t>
            </w:r>
          </w:p>
        </w:tc>
        <w:tc>
          <w:tcPr>
            <w:tcW w:type="dxa" w:w="216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Check 1</w:t>
            </w:r>
          </w:p>
        </w:tc>
      </w:tr>
      <w:tr>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3</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Ledger TF to Class</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Trial Balance</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dataLedger TF → dataLedger Class</w:t>
            </w:r>
          </w:p>
        </w:tc>
        <w:tc>
          <w:tcPr>
            <w:tcW w:type="dxa" w:w="21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Check 1</w:t>
            </w:r>
          </w:p>
        </w:tc>
      </w:tr>
      <w:tr>
        <w:tc>
          <w:tcPr>
            <w:tcW w:type="dxa" w:w="8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4</w:t>
            </w:r>
          </w:p>
        </w:tc>
        <w:tc>
          <w:tcPr>
            <w:tcW w:type="dxa" w:w="18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Ledger to Subledger</w:t>
            </w:r>
          </w:p>
        </w:tc>
        <w:tc>
          <w:tcPr>
            <w:tcW w:type="dxa" w:w="22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Trial Balance (expand)</w:t>
            </w:r>
          </w:p>
        </w:tc>
        <w:tc>
          <w:tcPr>
            <w:tcW w:type="dxa" w:w="24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dataLedger → derivedSubLedgerRollup</w:t>
            </w:r>
          </w:p>
        </w:tc>
        <w:tc>
          <w:tcPr>
            <w:tcW w:type="dxa" w:w="216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Check 3 + rollup calc</w:t>
            </w:r>
          </w:p>
        </w:tc>
      </w:tr>
      <w:tr>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5</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Position to Lot</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Position Drill-Down</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dataSubLedgerTrans → dataSubLedgerPosition</w:t>
            </w:r>
          </w:p>
        </w:tc>
        <w:tc>
          <w:tcPr>
            <w:tcW w:type="dxa" w:w="21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Check 4</w:t>
            </w:r>
          </w:p>
        </w:tc>
      </w:tr>
      <w:tr>
        <w:tc>
          <w:tcPr>
            <w:tcW w:type="dxa" w:w="8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6</w:t>
            </w:r>
          </w:p>
        </w:tc>
        <w:tc>
          <w:tcPr>
            <w:tcW w:type="dxa" w:w="18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Basis Lot Check</w:t>
            </w:r>
          </w:p>
        </w:tc>
        <w:tc>
          <w:tcPr>
            <w:tcW w:type="dxa" w:w="22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Position Drill-Down (tab)</w:t>
            </w:r>
          </w:p>
        </w:tc>
        <w:tc>
          <w:tcPr>
            <w:tcW w:type="dxa" w:w="24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dataSubLedgerTrans primary → non-primary</w:t>
            </w:r>
          </w:p>
        </w:tc>
        <w:tc>
          <w:tcPr>
            <w:tcW w:type="dxa" w:w="216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Check 5</w:t>
            </w:r>
          </w:p>
        </w:tc>
      </w:tr>
    </w:tbl>
    <w:p>
      <w:pPr>
        <w:pStyle w:val="Heading2"/>
      </w:pPr>
      <w:r>
        <w:t xml:space="preserve">7.2 Derived SubLedger Rollup Calculation</w:t>
      </w:r>
    </w:p>
    <w:p>
      <w:pPr>
        <w:spacing w:after="120" w:before="0"/>
      </w:pPr>
      <w:r>
        <w:rPr>
          <w:rFonts w:ascii="Arial" w:cs="Arial" w:eastAsia="Arial" w:hAnsi="Arial"/>
          <w:sz w:val="22"/>
          <w:szCs w:val="22"/>
        </w:rPr>
        <w:t xml:space="preserve">The derivedSubLedgerRollup dataset is computed at validation time using the rules defined in Section 2 of the Data Validation Rules. This is the critical transformation layer that enables the Trial Balance to compare GL ledger balances against position-level aggregates. Each rule maps specific canonical model fields to GL account numbers, applying sign conventions and aggregation logic.</w:t>
      </w:r>
    </w:p>
    <w:p>
      <w:pPr>
        <w:spacing w:after="120" w:before="0"/>
      </w:pPr>
      <w:r>
        <w:rPr>
          <w:rFonts w:ascii="Arial" w:cs="Arial" w:eastAsia="Arial" w:hAnsi="Arial"/>
          <w:sz w:val="22"/>
          <w:szCs w:val="22"/>
        </w:rPr>
        <w:t xml:space="preserve">The rollup is computed per valuationDt, account, and eagleLedgerAcct. Results are cached in the validation run context and made available to both the Trial Balance grid and the Position Drill-Down for tie-out validation.</w:t>
      </w:r>
    </w:p>
    <w:p>
      <w:r>
        <w:br w:type="page"/>
      </w:r>
    </w:p>
    <w:p>
      <w:pPr>
        <w:pStyle w:val="Heading1"/>
      </w:pPr>
      <w:r>
        <w:t xml:space="preserve">8. State Management &amp; Context Propagation</w:t>
      </w:r>
    </w:p>
    <w:p>
      <w:pPr>
        <w:pStyle w:val="Heading2"/>
      </w:pPr>
      <w:r>
        <w:t xml:space="preserve">8.1 Redux State Shape</w:t>
      </w:r>
    </w:p>
    <w:p>
      <w:pPr>
        <w:spacing w:after="120" w:before="0"/>
      </w:pPr>
      <w:r>
        <w:rPr>
          <w:rFonts w:ascii="Arial" w:cs="Arial" w:eastAsia="Arial" w:hAnsi="Arial"/>
          <w:sz w:val="22"/>
          <w:szCs w:val="22"/>
        </w:rPr>
        <w:t xml:space="preserve">The application uses Redux Toolkit with the following state slices for the drill-down flow:</w:t>
      </w:r>
    </w:p>
    <w:p>
      <w:pPr>
        <w:spacing w:after="0"/>
      </w:pPr>
      <w:r>
        <w:rPr>
          <w:rFonts w:ascii="Courier New" w:cs="Courier New" w:eastAsia="Courier New" w:hAnsi="Courier New"/>
          <w:color w:val="333333"/>
          <w:sz w:val="18"/>
          <w:szCs w:val="18"/>
        </w:rPr>
        <w:t xml:space="preserve">drillDown: {</w:t>
      </w:r>
    </w:p>
    <w:p>
      <w:pPr>
        <w:spacing w:after="0"/>
      </w:pPr>
      <w:r>
        <w:rPr>
          <w:rFonts w:ascii="Courier New" w:cs="Courier New" w:eastAsia="Courier New" w:hAnsi="Courier New"/>
          <w:color w:val="333333"/>
          <w:sz w:val="18"/>
          <w:szCs w:val="18"/>
        </w:rPr>
        <w:t xml:space="preserve">  context: {</w:t>
      </w:r>
    </w:p>
    <w:p>
      <w:pPr>
        <w:spacing w:after="0"/>
      </w:pPr>
      <w:r>
        <w:rPr>
          <w:rFonts w:ascii="Courier New" w:cs="Courier New" w:eastAsia="Courier New" w:hAnsi="Courier New"/>
          <w:color w:val="333333"/>
          <w:sz w:val="18"/>
          <w:szCs w:val="18"/>
        </w:rPr>
        <w:t xml:space="preserve">    eventId: string,</w:t>
      </w:r>
    </w:p>
    <w:p>
      <w:pPr>
        <w:spacing w:after="0"/>
      </w:pPr>
      <w:r>
        <w:rPr>
          <w:rFonts w:ascii="Courier New" w:cs="Courier New" w:eastAsia="Courier New" w:hAnsi="Courier New"/>
          <w:color w:val="333333"/>
          <w:sz w:val="18"/>
          <w:szCs w:val="18"/>
        </w:rPr>
        <w:t xml:space="preserve">    eventName: string,</w:t>
      </w:r>
    </w:p>
    <w:p>
      <w:pPr>
        <w:spacing w:after="0"/>
      </w:pPr>
      <w:r>
        <w:rPr>
          <w:rFonts w:ascii="Courier New" w:cs="Courier New" w:eastAsia="Courier New" w:hAnsi="Courier New"/>
          <w:color w:val="333333"/>
          <w:sz w:val="18"/>
          <w:szCs w:val="18"/>
        </w:rPr>
        <w:t xml:space="preserve">    account: string | null,</w:t>
      </w:r>
    </w:p>
    <w:p>
      <w:pPr>
        <w:spacing w:after="0"/>
      </w:pPr>
      <w:r>
        <w:rPr>
          <w:rFonts w:ascii="Courier New" w:cs="Courier New" w:eastAsia="Courier New" w:hAnsi="Courier New"/>
          <w:color w:val="333333"/>
          <w:sz w:val="18"/>
          <w:szCs w:val="18"/>
        </w:rPr>
        <w:t xml:space="preserve">    accountName: string | null,</w:t>
      </w:r>
    </w:p>
    <w:p>
      <w:pPr>
        <w:spacing w:after="0"/>
      </w:pPr>
      <w:r>
        <w:rPr>
          <w:rFonts w:ascii="Courier New" w:cs="Courier New" w:eastAsia="Courier New" w:hAnsi="Courier New"/>
          <w:color w:val="333333"/>
          <w:sz w:val="18"/>
          <w:szCs w:val="18"/>
        </w:rPr>
        <w:t xml:space="preserve">    valuationDt: string | null,</w:t>
      </w:r>
    </w:p>
    <w:p>
      <w:pPr>
        <w:spacing w:after="0"/>
      </w:pPr>
      <w:r>
        <w:rPr>
          <w:rFonts w:ascii="Courier New" w:cs="Courier New" w:eastAsia="Courier New" w:hAnsi="Courier New"/>
          <w:color w:val="333333"/>
          <w:sz w:val="18"/>
          <w:szCs w:val="18"/>
        </w:rPr>
        <w:t xml:space="preserve">    category: string | null,</w:t>
      </w:r>
    </w:p>
    <w:p>
      <w:pPr>
        <w:spacing w:after="0"/>
      </w:pPr>
      <w:r>
        <w:rPr>
          <w:rFonts w:ascii="Courier New" w:cs="Courier New" w:eastAsia="Courier New" w:hAnsi="Courier New"/>
          <w:color w:val="333333"/>
          <w:sz w:val="18"/>
          <w:szCs w:val="18"/>
        </w:rPr>
        <w:t xml:space="preserve">    assetId: string | null,</w:t>
      </w:r>
    </w:p>
    <w:p>
      <w:pPr>
        <w:spacing w:after="0"/>
      </w:pPr>
      <w:r>
        <w:rPr>
          <w:rFonts w:ascii="Courier New" w:cs="Courier New" w:eastAsia="Courier New" w:hAnsi="Courier New"/>
          <w:color w:val="333333"/>
          <w:sz w:val="18"/>
          <w:szCs w:val="18"/>
        </w:rPr>
        <w:t xml:space="preserve">  },</w:t>
      </w:r>
    </w:p>
    <w:p>
      <w:pPr>
        <w:spacing w:after="0"/>
      </w:pPr>
      <w:r>
        <w:rPr>
          <w:rFonts w:ascii="Courier New" w:cs="Courier New" w:eastAsia="Courier New" w:hAnsi="Courier New"/>
          <w:color w:val="333333"/>
          <w:sz w:val="18"/>
          <w:szCs w:val="18"/>
        </w:rPr>
        <w:t xml:space="preserve">  navDashboard: {</w:t>
      </w:r>
    </w:p>
    <w:p>
      <w:pPr>
        <w:spacing w:after="0"/>
      </w:pPr>
      <w:r>
        <w:rPr>
          <w:rFonts w:ascii="Courier New" w:cs="Courier New" w:eastAsia="Courier New" w:hAnsi="Courier New"/>
          <w:color w:val="333333"/>
          <w:sz w:val="18"/>
          <w:szCs w:val="18"/>
        </w:rPr>
        <w:t xml:space="preserve">    funds: Fund[],</w:t>
      </w:r>
    </w:p>
    <w:p>
      <w:pPr>
        <w:spacing w:after="0"/>
      </w:pPr>
      <w:r>
        <w:rPr>
          <w:rFonts w:ascii="Courier New" w:cs="Courier New" w:eastAsia="Courier New" w:hAnsi="Courier New"/>
          <w:color w:val="333333"/>
          <w:sz w:val="18"/>
          <w:szCs w:val="18"/>
        </w:rPr>
        <w:t xml:space="preserve">    selectedFund: string | null,</w:t>
      </w:r>
    </w:p>
    <w:p>
      <w:pPr>
        <w:spacing w:after="0"/>
      </w:pPr>
      <w:r>
        <w:rPr>
          <w:rFonts w:ascii="Courier New" w:cs="Courier New" w:eastAsia="Courier New" w:hAnsi="Courier New"/>
          <w:color w:val="333333"/>
          <w:sz w:val="18"/>
          <w:szCs w:val="18"/>
        </w:rPr>
        <w:t xml:space="preserve">    expandedRows: Set&lt;string&gt;,</w:t>
      </w:r>
    </w:p>
    <w:p>
      <w:pPr>
        <w:spacing w:after="0"/>
      </w:pPr>
      <w:r>
        <w:rPr>
          <w:rFonts w:ascii="Courier New" w:cs="Courier New" w:eastAsia="Courier New" w:hAnsi="Courier New"/>
          <w:color w:val="333333"/>
          <w:sz w:val="18"/>
          <w:szCs w:val="18"/>
        </w:rPr>
        <w:t xml:space="preserve">    crossChecks: Record&lt;string, CrossCheckResult&gt;,</w:t>
      </w:r>
    </w:p>
    <w:p>
      <w:pPr>
        <w:spacing w:after="0"/>
      </w:pPr>
      <w:r>
        <w:rPr>
          <w:rFonts w:ascii="Courier New" w:cs="Courier New" w:eastAsia="Courier New" w:hAnsi="Courier New"/>
          <w:color w:val="333333"/>
          <w:sz w:val="18"/>
          <w:szCs w:val="18"/>
        </w:rPr>
        <w:t xml:space="preserve">  },</w:t>
      </w:r>
    </w:p>
    <w:p>
      <w:pPr>
        <w:spacing w:after="0"/>
      </w:pPr>
      <w:r>
        <w:rPr>
          <w:rFonts w:ascii="Courier New" w:cs="Courier New" w:eastAsia="Courier New" w:hAnsi="Courier New"/>
          <w:color w:val="333333"/>
          <w:sz w:val="18"/>
          <w:szCs w:val="18"/>
        </w:rPr>
        <w:t xml:space="preserve">  trialBalance: {</w:t>
      </w:r>
    </w:p>
    <w:p>
      <w:pPr>
        <w:spacing w:after="0"/>
      </w:pPr>
      <w:r>
        <w:rPr>
          <w:rFonts w:ascii="Courier New" w:cs="Courier New" w:eastAsia="Courier New" w:hAnsi="Courier New"/>
          <w:color w:val="333333"/>
          <w:sz w:val="18"/>
          <w:szCs w:val="18"/>
        </w:rPr>
        <w:t xml:space="preserve">    categories: LedgerCategory[],</w:t>
      </w:r>
    </w:p>
    <w:p>
      <w:pPr>
        <w:spacing w:after="0"/>
      </w:pPr>
      <w:r>
        <w:rPr>
          <w:rFonts w:ascii="Courier New" w:cs="Courier New" w:eastAsia="Courier New" w:hAnsi="Courier New"/>
          <w:color w:val="333333"/>
          <w:sz w:val="18"/>
          <w:szCs w:val="18"/>
        </w:rPr>
        <w:t xml:space="preserve">    selectedCategory: string | null,</w:t>
      </w:r>
    </w:p>
    <w:p>
      <w:pPr>
        <w:spacing w:after="0"/>
      </w:pPr>
      <w:r>
        <w:rPr>
          <w:rFonts w:ascii="Courier New" w:cs="Courier New" w:eastAsia="Courier New" w:hAnsi="Courier New"/>
          <w:color w:val="333333"/>
          <w:sz w:val="18"/>
          <w:szCs w:val="18"/>
        </w:rPr>
        <w:t xml:space="preserve">    expandedRows: Set&lt;string&gt;,</w:t>
      </w:r>
    </w:p>
    <w:p>
      <w:pPr>
        <w:spacing w:after="0"/>
      </w:pPr>
      <w:r>
        <w:rPr>
          <w:rFonts w:ascii="Courier New" w:cs="Courier New" w:eastAsia="Courier New" w:hAnsi="Courier New"/>
          <w:color w:val="333333"/>
          <w:sz w:val="18"/>
          <w:szCs w:val="18"/>
        </w:rPr>
        <w:t xml:space="preserve">    subledgerChecks: Record&lt;string, SubledgerCheckResult&gt;,</w:t>
      </w:r>
    </w:p>
    <w:p>
      <w:pPr>
        <w:spacing w:after="0"/>
      </w:pPr>
      <w:r>
        <w:rPr>
          <w:rFonts w:ascii="Courier New" w:cs="Courier New" w:eastAsia="Courier New" w:hAnsi="Courier New"/>
          <w:color w:val="333333"/>
          <w:sz w:val="18"/>
          <w:szCs w:val="18"/>
        </w:rPr>
        <w:t xml:space="preserve">    waterfallData: WaterfallBar[],</w:t>
      </w:r>
    </w:p>
    <w:p>
      <w:pPr>
        <w:spacing w:after="0"/>
      </w:pPr>
      <w:r>
        <w:rPr>
          <w:rFonts w:ascii="Courier New" w:cs="Courier New" w:eastAsia="Courier New" w:hAnsi="Courier New"/>
          <w:color w:val="333333"/>
          <w:sz w:val="18"/>
          <w:szCs w:val="18"/>
        </w:rPr>
        <w:t xml:space="preserve">  },</w:t>
      </w:r>
    </w:p>
    <w:p>
      <w:pPr>
        <w:spacing w:after="0"/>
      </w:pPr>
      <w:r>
        <w:rPr>
          <w:rFonts w:ascii="Courier New" w:cs="Courier New" w:eastAsia="Courier New" w:hAnsi="Courier New"/>
          <w:color w:val="333333"/>
          <w:sz w:val="18"/>
          <w:szCs w:val="18"/>
        </w:rPr>
        <w:t xml:space="preserve">  positionDrillDown: {</w:t>
      </w:r>
    </w:p>
    <w:p>
      <w:pPr>
        <w:spacing w:after="0"/>
      </w:pPr>
      <w:r>
        <w:rPr>
          <w:rFonts w:ascii="Courier New" w:cs="Courier New" w:eastAsia="Courier New" w:hAnsi="Courier New"/>
          <w:color w:val="333333"/>
          <w:sz w:val="18"/>
          <w:szCs w:val="18"/>
        </w:rPr>
        <w:t xml:space="preserve">    positions: Position[],</w:t>
      </w:r>
    </w:p>
    <w:p>
      <w:pPr>
        <w:spacing w:after="0"/>
      </w:pPr>
      <w:r>
        <w:rPr>
          <w:rFonts w:ascii="Courier New" w:cs="Courier New" w:eastAsia="Courier New" w:hAnsi="Courier New"/>
          <w:color w:val="333333"/>
          <w:sz w:val="18"/>
          <w:szCs w:val="18"/>
        </w:rPr>
        <w:t xml:space="preserve">    selectedPosition: string | null,</w:t>
      </w:r>
    </w:p>
    <w:p>
      <w:pPr>
        <w:spacing w:after="0"/>
      </w:pPr>
      <w:r>
        <w:rPr>
          <w:rFonts w:ascii="Courier New" w:cs="Courier New" w:eastAsia="Courier New" w:hAnsi="Courier New"/>
          <w:color w:val="333333"/>
          <w:sz w:val="18"/>
          <w:szCs w:val="18"/>
        </w:rPr>
        <w:t xml:space="preserve">    expandedRows: Set&lt;string&gt;,</w:t>
      </w:r>
    </w:p>
    <w:p>
      <w:pPr>
        <w:spacing w:after="0"/>
      </w:pPr>
      <w:r>
        <w:rPr>
          <w:rFonts w:ascii="Courier New" w:cs="Courier New" w:eastAsia="Courier New" w:hAnsi="Courier New"/>
          <w:color w:val="333333"/>
          <w:sz w:val="18"/>
          <w:szCs w:val="18"/>
        </w:rPr>
        <w:t xml:space="preserve">    taxLots: Record&lt;string, TaxLot[]&gt;,</w:t>
      </w:r>
    </w:p>
    <w:p>
      <w:pPr>
        <w:spacing w:after="0"/>
      </w:pPr>
      <w:r>
        <w:rPr>
          <w:rFonts w:ascii="Courier New" w:cs="Courier New" w:eastAsia="Courier New" w:hAnsi="Courier New"/>
          <w:color w:val="333333"/>
          <w:sz w:val="18"/>
          <w:szCs w:val="18"/>
        </w:rPr>
        <w:t xml:space="preserve">    basisLotCheck: BasisLotResult[],</w:t>
      </w:r>
    </w:p>
    <w:p>
      <w:pPr>
        <w:spacing w:after="0"/>
      </w:pPr>
      <w:r>
        <w:rPr>
          <w:rFonts w:ascii="Courier New" w:cs="Courier New" w:eastAsia="Courier New" w:hAnsi="Courier New"/>
          <w:color w:val="333333"/>
          <w:sz w:val="18"/>
          <w:szCs w:val="18"/>
        </w:rPr>
        <w:t xml:space="preserve">  },</w:t>
      </w:r>
    </w:p>
    <w:p>
      <w:pPr>
        <w:spacing w:after="0"/>
      </w:pPr>
      <w:r>
        <w:rPr>
          <w:rFonts w:ascii="Courier New" w:cs="Courier New" w:eastAsia="Courier New" w:hAnsi="Courier New"/>
          <w:color w:val="333333"/>
          <w:sz w:val="18"/>
          <w:szCs w:val="18"/>
        </w:rPr>
        <w:t xml:space="preserve">  aiAnalysis: {</w:t>
      </w:r>
    </w:p>
    <w:p>
      <w:pPr>
        <w:spacing w:after="0"/>
      </w:pPr>
      <w:r>
        <w:rPr>
          <w:rFonts w:ascii="Courier New" w:cs="Courier New" w:eastAsia="Courier New" w:hAnsi="Courier New"/>
          <w:color w:val="333333"/>
          <w:sz w:val="18"/>
          <w:szCs w:val="18"/>
        </w:rPr>
        <w:t xml:space="preserve">    currentAnalysis: AIAnalysis | null,</w:t>
      </w:r>
    </w:p>
    <w:p>
      <w:pPr>
        <w:spacing w:after="0"/>
      </w:pPr>
      <w:r>
        <w:rPr>
          <w:rFonts w:ascii="Courier New" w:cs="Courier New" w:eastAsia="Courier New" w:hAnsi="Courier New"/>
          <w:color w:val="333333"/>
          <w:sz w:val="18"/>
          <w:szCs w:val="18"/>
        </w:rPr>
        <w:t xml:space="preserve">    loading: boolean,</w:t>
      </w:r>
    </w:p>
    <w:p>
      <w:pPr>
        <w:spacing w:after="0"/>
      </w:pPr>
      <w:r>
        <w:rPr>
          <w:rFonts w:ascii="Courier New" w:cs="Courier New" w:eastAsia="Courier New" w:hAnsi="Courier New"/>
          <w:color w:val="333333"/>
          <w:sz w:val="18"/>
          <w:szCs w:val="18"/>
        </w:rPr>
        <w:t xml:space="preserve">    history: AIAnalysis[],</w:t>
      </w:r>
    </w:p>
    <w:p>
      <w:pPr>
        <w:spacing w:after="0"/>
      </w:pPr>
      <w:r>
        <w:rPr>
          <w:rFonts w:ascii="Courier New" w:cs="Courier New" w:eastAsia="Courier New" w:hAnsi="Courier New"/>
          <w:color w:val="333333"/>
          <w:sz w:val="18"/>
          <w:szCs w:val="18"/>
        </w:rPr>
        <w:t xml:space="preserve">  }</w:t>
      </w:r>
    </w:p>
    <w:p>
      <w:pPr>
        <w:spacing w:after="0"/>
      </w:pPr>
      <w:r>
        <w:rPr>
          <w:rFonts w:ascii="Courier New" w:cs="Courier New" w:eastAsia="Courier New" w:hAnsi="Courier New"/>
          <w:color w:val="333333"/>
          <w:sz w:val="18"/>
          <w:szCs w:val="18"/>
        </w:rPr>
        <w:t xml:space="preserve">}</w:t>
      </w:r>
    </w:p>
    <w:p/>
    <w:p>
      <w:pPr>
        <w:pStyle w:val="Heading2"/>
      </w:pPr>
      <w:r>
        <w:t xml:space="preserve">8.2 Context Propagation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c>
          <w:tcPr>
            <w:tcW w:type="dxa" w:w="20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Transition</w:t>
            </w:r>
          </w:p>
        </w:tc>
        <w:tc>
          <w:tcPr>
            <w:tcW w:type="dxa" w:w="25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Context Set</w:t>
            </w:r>
          </w:p>
        </w:tc>
        <w:tc>
          <w:tcPr>
            <w:tcW w:type="dxa" w:w="25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Context Preserved</w:t>
            </w:r>
          </w:p>
        </w:tc>
        <w:tc>
          <w:tcPr>
            <w:tcW w:type="dxa" w:w="23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Context Cleared</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Event → NAV</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eventId, eventName</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w:t>
            </w:r>
          </w:p>
        </w:tc>
        <w:tc>
          <w:tcPr>
            <w:tcW w:type="dxa" w:w="23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account, category, assetId</w:t>
            </w:r>
          </w:p>
        </w:tc>
      </w:tr>
      <w:tr>
        <w:tc>
          <w:tcPr>
            <w:tcW w:type="dxa" w:w="20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NAV → Trial Bal</w:t>
            </w:r>
          </w:p>
        </w:tc>
        <w:tc>
          <w:tcPr>
            <w:tcW w:type="dxa" w:w="25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account, accountName</w:t>
            </w:r>
          </w:p>
        </w:tc>
        <w:tc>
          <w:tcPr>
            <w:tcW w:type="dxa" w:w="25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eventId, valuationDt</w:t>
            </w:r>
          </w:p>
        </w:tc>
        <w:tc>
          <w:tcPr>
            <w:tcW w:type="dxa" w:w="236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category, assetId</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Trial Bal → Position</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category</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eventId, account, valuationDt</w:t>
            </w:r>
          </w:p>
        </w:tc>
        <w:tc>
          <w:tcPr>
            <w:tcW w:type="dxa" w:w="23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assetId</w:t>
            </w:r>
          </w:p>
        </w:tc>
      </w:tr>
      <w:tr>
        <w:tc>
          <w:tcPr>
            <w:tcW w:type="dxa" w:w="20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Any → Back</w:t>
            </w:r>
          </w:p>
        </w:tc>
        <w:tc>
          <w:tcPr>
            <w:tcW w:type="dxa" w:w="25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w:t>
            </w:r>
          </w:p>
        </w:tc>
        <w:tc>
          <w:tcPr>
            <w:tcW w:type="dxa" w:w="25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All parent context</w:t>
            </w:r>
          </w:p>
        </w:tc>
        <w:tc>
          <w:tcPr>
            <w:tcW w:type="dxa" w:w="236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Child-level context</w:t>
            </w:r>
          </w:p>
        </w:tc>
      </w:tr>
    </w:tbl>
    <w:p>
      <w:pPr>
        <w:pStyle w:val="Heading2"/>
      </w:pPr>
      <w:r>
        <w:t xml:space="preserve">8.3 Real-Time Updates</w:t>
      </w:r>
    </w:p>
    <w:p>
      <w:pPr>
        <w:spacing w:after="120" w:before="0"/>
      </w:pPr>
      <w:r>
        <w:rPr>
          <w:rFonts w:ascii="Arial" w:cs="Arial" w:eastAsia="Arial" w:hAnsi="Arial"/>
          <w:sz w:val="22"/>
          <w:szCs w:val="22"/>
        </w:rPr>
        <w:t xml:space="preserve">WebSocket subscriptions are scoped to the current drill-down context:</w:t>
      </w:r>
    </w:p>
    <w:p>
      <w:pPr>
        <w:pStyle w:val="ListParagraph"/>
        <w:numPr>
          <w:ilvl w:val="0"/>
          <w:numId w:val="2"/>
        </w:numPr>
        <w:spacing w:after="60"/>
      </w:pPr>
      <w:r>
        <w:rPr>
          <w:rFonts w:ascii="Arial" w:cs="Arial" w:eastAsia="Arial" w:hAnsi="Arial"/>
          <w:sz w:val="22"/>
          <w:szCs w:val="22"/>
        </w:rPr>
        <w:t xml:space="preserve">Event Dashboard: Subscribe to all events in user's scope</w:t>
      </w:r>
    </w:p>
    <w:p>
      <w:pPr>
        <w:pStyle w:val="ListParagraph"/>
        <w:numPr>
          <w:ilvl w:val="0"/>
          <w:numId w:val="2"/>
        </w:numPr>
        <w:spacing w:after="60"/>
      </w:pPr>
      <w:r>
        <w:rPr>
          <w:rFonts w:ascii="Arial" w:cs="Arial" w:eastAsia="Arial" w:hAnsi="Arial"/>
          <w:sz w:val="22"/>
          <w:szCs w:val="22"/>
        </w:rPr>
        <w:t xml:space="preserve">NAV Dashboard: Subscribe to validation updates for current event</w:t>
      </w:r>
    </w:p>
    <w:p>
      <w:pPr>
        <w:pStyle w:val="ListParagraph"/>
        <w:numPr>
          <w:ilvl w:val="0"/>
          <w:numId w:val="2"/>
        </w:numPr>
        <w:spacing w:after="60"/>
      </w:pPr>
      <w:r>
        <w:rPr>
          <w:rFonts w:ascii="Arial" w:cs="Arial" w:eastAsia="Arial" w:hAnsi="Arial"/>
          <w:sz w:val="22"/>
          <w:szCs w:val="22"/>
        </w:rPr>
        <w:t xml:space="preserve">Trial Balance: Subscribe to AI analysis updates for current fund</w:t>
      </w:r>
    </w:p>
    <w:p>
      <w:pPr>
        <w:pStyle w:val="ListParagraph"/>
        <w:numPr>
          <w:ilvl w:val="0"/>
          <w:numId w:val="2"/>
        </w:numPr>
        <w:spacing w:after="60"/>
      </w:pPr>
      <w:r>
        <w:rPr>
          <w:rFonts w:ascii="Arial" w:cs="Arial" w:eastAsia="Arial" w:hAnsi="Arial"/>
          <w:sz w:val="22"/>
          <w:szCs w:val="22"/>
        </w:rPr>
        <w:t xml:space="preserve">Position Drill-Down: Subscribe to AI analysis for current fund + category</w:t>
      </w:r>
    </w:p>
    <w:p>
      <w:pPr>
        <w:spacing w:after="120" w:before="0"/>
      </w:pPr>
      <w:r>
        <w:rPr>
          <w:rFonts w:ascii="Arial" w:cs="Arial" w:eastAsia="Arial" w:hAnsi="Arial"/>
          <w:sz w:val="22"/>
          <w:szCs w:val="22"/>
        </w:rPr>
        <w:t xml:space="preserve">When a validation run completes or AI analysis finishes, the affected grid rows update in-place without full page refresh. New break status indicators animate briefly (pulse effect) to draw attention.</w:t>
      </w:r>
    </w:p>
    <w:p>
      <w:r>
        <w:br w:type="page"/>
      </w:r>
    </w:p>
    <w:p>
      <w:pPr>
        <w:pStyle w:val="Heading1"/>
      </w:pPr>
      <w:r>
        <w:t xml:space="preserve">9. Performance &amp; Accessibility</w:t>
      </w:r>
    </w:p>
    <w:p>
      <w:pPr>
        <w:pStyle w:val="Heading2"/>
      </w:pPr>
      <w:r>
        <w:t xml:space="preserve">9.1 Performance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2400"/>
        <w:gridCol w:w="2160"/>
      </w:tblGrid>
      <w:tr>
        <w:tc>
          <w:tcPr>
            <w:tcW w:type="dxa" w:w="30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Metric</w:t>
            </w:r>
          </w:p>
        </w:tc>
        <w:tc>
          <w:tcPr>
            <w:tcW w:type="dxa" w:w="18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Target</w:t>
            </w:r>
          </w:p>
        </w:tc>
        <w:tc>
          <w:tcPr>
            <w:tcW w:type="dxa" w:w="24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Measurement</w:t>
            </w:r>
          </w:p>
        </w:tc>
        <w:tc>
          <w:tcPr>
            <w:tcW w:type="dxa" w:w="21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Screen</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Event Dashboard load</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&lt; 2s</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Time to First Contentful Paint</w:t>
            </w:r>
          </w:p>
        </w:tc>
        <w:tc>
          <w:tcPr>
            <w:tcW w:type="dxa" w:w="21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Event Dashboard</w:t>
            </w:r>
          </w:p>
        </w:tc>
      </w:tr>
      <w:tr>
        <w:tc>
          <w:tcPr>
            <w:tcW w:type="dxa" w:w="30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NAV Compare grid render</w:t>
            </w:r>
          </w:p>
        </w:tc>
        <w:tc>
          <w:tcPr>
            <w:tcW w:type="dxa" w:w="18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&lt; 1s</w:t>
            </w:r>
          </w:p>
        </w:tc>
        <w:tc>
          <w:tcPr>
            <w:tcW w:type="dxa" w:w="24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500 fund rows with status</w:t>
            </w:r>
          </w:p>
        </w:tc>
        <w:tc>
          <w:tcPr>
            <w:tcW w:type="dxa" w:w="216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NAV Dashboard</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Trial Balance load</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&lt; 500ms</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30 GL categories with balances</w:t>
            </w:r>
          </w:p>
        </w:tc>
        <w:tc>
          <w:tcPr>
            <w:tcW w:type="dxa" w:w="21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Trial Balance</w:t>
            </w:r>
          </w:p>
        </w:tc>
      </w:tr>
      <w:tr>
        <w:tc>
          <w:tcPr>
            <w:tcW w:type="dxa" w:w="30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Position grid render</w:t>
            </w:r>
          </w:p>
        </w:tc>
        <w:tc>
          <w:tcPr>
            <w:tcW w:type="dxa" w:w="18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&lt; 1s</w:t>
            </w:r>
          </w:p>
        </w:tc>
        <w:tc>
          <w:tcPr>
            <w:tcW w:type="dxa" w:w="24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1000 positions with grouping</w:t>
            </w:r>
          </w:p>
        </w:tc>
        <w:tc>
          <w:tcPr>
            <w:tcW w:type="dxa" w:w="216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Position Drill-Down</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Tax lot expansion</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&lt; 300ms</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50 lots per position</w:t>
            </w:r>
          </w:p>
        </w:tc>
        <w:tc>
          <w:tcPr>
            <w:tcW w:type="dxa" w:w="21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Position Drill-Down</w:t>
            </w:r>
          </w:p>
        </w:tc>
      </w:tr>
      <w:tr>
        <w:tc>
          <w:tcPr>
            <w:tcW w:type="dxa" w:w="30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Cross-check expansion</w:t>
            </w:r>
          </w:p>
        </w:tc>
        <w:tc>
          <w:tcPr>
            <w:tcW w:type="dxa" w:w="18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&lt; 200ms</w:t>
            </w:r>
          </w:p>
        </w:tc>
        <w:tc>
          <w:tcPr>
            <w:tcW w:type="dxa" w:w="24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Inline validation display</w:t>
            </w:r>
          </w:p>
        </w:tc>
        <w:tc>
          <w:tcPr>
            <w:tcW w:type="dxa" w:w="216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NAV Dashboard</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Waterfall chart render</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&lt; 200ms</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D3.js SVG with 15 bars</w:t>
            </w:r>
          </w:p>
        </w:tc>
        <w:tc>
          <w:tcPr>
            <w:tcW w:type="dxa" w:w="21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Trial Balance</w:t>
            </w:r>
          </w:p>
        </w:tc>
      </w:tr>
      <w:tr>
        <w:tc>
          <w:tcPr>
            <w:tcW w:type="dxa" w:w="30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AI panel update</w:t>
            </w:r>
          </w:p>
        </w:tc>
        <w:tc>
          <w:tcPr>
            <w:tcW w:type="dxa" w:w="18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&lt; 300ms</w:t>
            </w:r>
          </w:p>
        </w:tc>
        <w:tc>
          <w:tcPr>
            <w:tcW w:type="dxa" w:w="24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After row selection change</w:t>
            </w:r>
          </w:p>
        </w:tc>
        <w:tc>
          <w:tcPr>
            <w:tcW w:type="dxa" w:w="216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r>
              <w:rPr>
                <w:rFonts w:ascii="Arial" w:cs="Arial" w:eastAsia="Arial" w:hAnsi="Arial"/>
                <w:sz w:val="18"/>
                <w:szCs w:val="18"/>
                <w:shd w:fill="F2F6FA" w:val="clear"/>
              </w:rPr>
              <w:t xml:space="preserve">All screens</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WebSocket latency</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&lt; 200ms</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Server event to UI update</w:t>
            </w:r>
          </w:p>
        </w:tc>
        <w:tc>
          <w:tcPr>
            <w:tcW w:type="dxa" w:w="21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sz w:val="18"/>
                <w:szCs w:val="18"/>
              </w:rPr>
              <w:t xml:space="preserve">All screens</w:t>
            </w:r>
          </w:p>
        </w:tc>
      </w:tr>
    </w:tbl>
    <w:p>
      <w:pPr>
        <w:pStyle w:val="Heading2"/>
      </w:pPr>
      <w:r>
        <w:t xml:space="preserve">9.2 Accessibility Requirements</w:t>
      </w:r>
    </w:p>
    <w:p>
      <w:pPr>
        <w:pStyle w:val="ListParagraph"/>
        <w:numPr>
          <w:ilvl w:val="0"/>
          <w:numId w:val="2"/>
        </w:numPr>
        <w:spacing w:after="60"/>
      </w:pPr>
      <w:r>
        <w:rPr>
          <w:rFonts w:ascii="Arial" w:cs="Arial" w:eastAsia="Arial" w:hAnsi="Arial"/>
          <w:sz w:val="22"/>
          <w:szCs w:val="22"/>
        </w:rPr>
        <w:t xml:space="preserve">WCAG 2.1 AA compliance across all four screens</w:t>
      </w:r>
    </w:p>
    <w:p>
      <w:pPr>
        <w:pStyle w:val="ListParagraph"/>
        <w:numPr>
          <w:ilvl w:val="0"/>
          <w:numId w:val="2"/>
        </w:numPr>
        <w:spacing w:after="60"/>
      </w:pPr>
      <w:r>
        <w:rPr>
          <w:rFonts w:ascii="Arial" w:cs="Arial" w:eastAsia="Arial" w:hAnsi="Arial"/>
          <w:sz w:val="22"/>
          <w:szCs w:val="22"/>
        </w:rPr>
        <w:t xml:space="preserve">Full keyboard navigation: Tab through grid rows, Enter to expand, Escape to collapse, Arrow keys for cell navigation within AG-Grid</w:t>
      </w:r>
    </w:p>
    <w:p>
      <w:pPr>
        <w:pStyle w:val="ListParagraph"/>
        <w:numPr>
          <w:ilvl w:val="0"/>
          <w:numId w:val="2"/>
        </w:numPr>
        <w:spacing w:after="60"/>
      </w:pPr>
      <w:r>
        <w:rPr>
          <w:rFonts w:ascii="Arial" w:cs="Arial" w:eastAsia="Arial" w:hAnsi="Arial"/>
          <w:sz w:val="22"/>
          <w:szCs w:val="22"/>
        </w:rPr>
        <w:t xml:space="preserve">Screen reader: ARIA live regions for validation status changes, AI analysis updates, and real-time feed items</w:t>
      </w:r>
    </w:p>
    <w:p>
      <w:pPr>
        <w:pStyle w:val="ListParagraph"/>
        <w:numPr>
          <w:ilvl w:val="0"/>
          <w:numId w:val="2"/>
        </w:numPr>
        <w:spacing w:after="60"/>
      </w:pPr>
      <w:r>
        <w:rPr>
          <w:rFonts w:ascii="Arial" w:cs="Arial" w:eastAsia="Arial" w:hAnsi="Arial"/>
          <w:sz w:val="22"/>
          <w:szCs w:val="22"/>
        </w:rPr>
        <w:t xml:space="preserve">Color contrast: 4.5:1 minimum for all text. Break status uses both color AND icon (checkmark, warning triangle, X) for color-blind accessibility</w:t>
      </w:r>
    </w:p>
    <w:p>
      <w:pPr>
        <w:pStyle w:val="ListParagraph"/>
        <w:numPr>
          <w:ilvl w:val="0"/>
          <w:numId w:val="2"/>
        </w:numPr>
        <w:spacing w:after="60"/>
      </w:pPr>
      <w:r>
        <w:rPr>
          <w:rFonts w:ascii="Arial" w:cs="Arial" w:eastAsia="Arial" w:hAnsi="Arial"/>
          <w:sz w:val="22"/>
          <w:szCs w:val="22"/>
        </w:rPr>
        <w:t xml:space="preserve">Focus indicators: Visible focus ring on all interactive elements, follows WCAG 2.4.7</w:t>
      </w:r>
    </w:p>
    <w:p/>
    <w:p>
      <w:pPr>
        <w:spacing w:before="400"/>
        <w:jc w:val="center"/>
      </w:pPr>
      <w:r>
        <w:rPr>
          <w:rFonts w:ascii="Arial" w:cs="Arial" w:eastAsia="Arial" w:hAnsi="Arial"/>
          <w:b/>
          <w:bCs/>
          <w:color w:val="888888"/>
          <w:sz w:val="20"/>
          <w:szCs w:val="20"/>
        </w:rPr>
        <w:t xml:space="preserve">END OF DOCUMENT</w:t>
      </w:r>
    </w:p>
    <w:p>
      <w:pPr>
        <w:jc w:val="center"/>
      </w:pPr>
      <w:r>
        <w:rPr>
          <w:rFonts w:ascii="Arial" w:cs="Arial" w:eastAsia="Arial" w:hAnsi="Arial"/>
          <w:i/>
          <w:iCs/>
          <w:color w:val="888888"/>
          <w:sz w:val="18"/>
          <w:szCs w:val="18"/>
        </w:rPr>
        <w:t xml:space="preserve">RECON-AI Process Flow Specification v1.0 – February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6"/>
        <w:szCs w:val="16"/>
      </w:rPr>
      <w:t xml:space="preserve">RECON-AI Process Flow Specification</w:t>
    </w:r>
    <w:r>
      <w:rPr>
        <w:rFonts w:ascii="Arial" w:cs="Arial" w:eastAsia="Arial" w:hAnsi="Arial"/>
        <w:b/>
        <w:bCs/>
        <w:color w:val="CC0000"/>
        <w:sz w:val="16"/>
        <w:szCs w:val="16"/>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C5F8A"/>
      <w:sz w:val="30"/>
      <w:szCs w:val="30"/>
    </w:rPr>
  </w:style>
  <w:style w:type="paragraph" w:styleId="Heading3">
    <w:name w:val="Heading 3"/>
    <w:basedOn w:val="Normal"/>
    <w:next w:val="Normal"/>
    <w:qFormat/>
    <w:pPr>
      <w:spacing w:before="200" w:after="120"/>
      <w:outlineLvl w:val="2"/>
    </w:pPr>
    <w:rPr>
      <w:rFonts w:ascii="Arial" w:cs="Arial" w:eastAsia="Arial" w:hAnsi="Arial"/>
      <w:b/>
      <w:bCs/>
      <w:color w:val="3A7AB5"/>
      <w:sz w:val="26"/>
      <w:szCs w:val="26"/>
    </w:rPr>
  </w:style>
  <w:style w:type="paragraph" w:styleId="Heading4">
    <w:name w:val="Heading 4"/>
    <w:basedOn w:val="Normal"/>
    <w:next w:val="Normal"/>
    <w:qFormat/>
    <w:pPr>
      <w:spacing w:before="160" w:after="100"/>
      <w:outlineLvl w:val="3"/>
    </w:pPr>
    <w:rPr>
      <w:rFonts w:ascii="Arial" w:cs="Arial" w:eastAsia="Arial" w:hAnsi="Arial"/>
      <w:b/>
      <w:bCs/>
      <w:color w:val="4A4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2026-02-12T15:42:45.292Z</dcterms:created>
  <dcterms:modified xsi:type="dcterms:W3CDTF">2026-02-12T15:42:45.293Z</dcterms:modified>
</cp:coreProperties>
</file>

<file path=docProps/custom.xml><?xml version="1.0" encoding="utf-8"?>
<Properties xmlns="http://schemas.openxmlformats.org/officeDocument/2006/custom-properties" xmlns:vt="http://schemas.openxmlformats.org/officeDocument/2006/docPropsVTypes"/>
</file>