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6"/>
          <w:szCs w:val="56"/>
        </w:rPr>
        <w:t xml:space="preserve">RECON-AI</w:t>
      </w:r>
    </w:p>
    <w:p>
      <w:pPr>
        <w:spacing w:before="200"/>
        <w:jc w:val="center"/>
      </w:pPr>
      <w:r>
        <w:rPr>
          <w:rFonts w:ascii="Arial" w:cs="Arial" w:eastAsia="Arial" w:hAnsi="Arial"/>
          <w:color w:val="2E75B6"/>
          <w:sz w:val="36"/>
          <w:szCs w:val="36"/>
        </w:rPr>
        <w:t xml:space="preserve">Eagle GL → MMIF Schema Mapping Layer</w:t>
      </w:r>
    </w:p>
    <w:p>
      <w:pPr>
        <w:pBdr>
          <w:top w:val="single" w:color="4BACC6" w:sz="6"/>
        </w:pBdr>
        <w:spacing w:before="400"/>
        <w:jc w:val="center"/>
      </w:pPr>
    </w:p>
    <w:p>
      <w:pPr>
        <w:spacing w:before="200"/>
        <w:jc w:val="center"/>
      </w:pPr>
      <w:r>
        <w:rPr>
          <w:rFonts w:ascii="Arial" w:cs="Arial" w:eastAsia="Arial" w:hAnsi="Arial"/>
          <w:color w:val="666666"/>
          <w:sz w:val="22"/>
          <w:szCs w:val="22"/>
        </w:rPr>
        <w:t xml:space="preserve">CBI Regulatory Reporting | Fund Administration AI</w:t>
      </w:r>
    </w:p>
    <w:p>
      <w:pPr>
        <w:spacing w:before="100"/>
        <w:jc w:val="center"/>
      </w:pPr>
      <w:r>
        <w:rPr>
          <w:rFonts w:ascii="Arial" w:cs="Arial" w:eastAsia="Arial" w:hAnsi="Arial"/>
          <w:color w:val="666666"/>
          <w:sz w:val="22"/>
          <w:szCs w:val="22"/>
        </w:rPr>
        <w:t xml:space="preserve">Integration Module for NAV Reconciliation System</w:t>
      </w:r>
    </w:p>
    <w:p>
      <w:pPr>
        <w:spacing w:before="600"/>
        <w:jc w:val="center"/>
      </w:pPr>
      <w:r>
        <w:rPr>
          <w:rFonts w:ascii="Arial" w:cs="Arial" w:eastAsia="Arial" w:hAnsi="Arial"/>
          <w:color w:val="888888"/>
          <w:sz w:val="20"/>
          <w:szCs w:val="20"/>
        </w:rPr>
        <w:t xml:space="preserve">BNY Fund Services  |  ScaleFirst Open Source  |  </w:t>
      </w:r>
      <w:r>
        <w:rPr>
          <w:rFonts w:ascii="Arial" w:cs="Arial" w:eastAsia="Arial" w:hAnsi="Arial"/>
          <w:color w:val="888888"/>
          <w:sz w:val="20"/>
          <w:szCs w:val="20"/>
        </w:rPr>
        <w:t xml:space="preserve">March 2026</w:t>
      </w:r>
    </w:p>
    <w:p>
      <w:pPr>
        <w:spacing w:before="100"/>
        <w:jc w:val="center"/>
      </w:pPr>
      <w:r>
        <w:rPr>
          <w:rFonts w:ascii="Arial" w:cs="Arial" w:eastAsia="Arial" w:hAnsi="Arial"/>
          <w:color w:val="AAAAAA"/>
          <w:sz w:val="18"/>
          <w:szCs w:val="18"/>
        </w:rPr>
        <w:t xml:space="preserve">Document Version 1.0  |  Classification: Internal</w:t>
      </w:r>
    </w:p>
    <w:p>
      <w:pPr>
        <w:sectPr>
          <w:pgSz w:w="12240" w:h="15840" w:orient="landscape"/>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landscape"/>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333333"/>
          <w:sz w:val="20"/>
          <w:szCs w:val="20"/>
        </w:rPr>
        <w:t xml:space="preserve">This document defines the schema mapping layer between Eagle STAR/PACE GL account structures and the CBI MMIF (Resident Money Market and Investment Funds Return) reporting taxonomy. It serves as the foundational configuration for RECON-AI’s MMIF reconciliation module, enabling automated verification that MMIF asset, liability, and P&amp;L figures tie back to the fund’s trial balance before CBI submission.</w:t>
      </w:r>
    </w:p>
    <w:p>
      <w:pPr>
        <w:spacing w:after="120"/>
      </w:pPr>
      <w:r>
        <w:rPr>
          <w:rFonts w:ascii="Arial" w:cs="Arial" w:eastAsia="Arial" w:hAnsi="Arial"/>
          <w:color w:val="333333"/>
          <w:sz w:val="20"/>
          <w:szCs w:val="20"/>
        </w:rPr>
        <w:t xml:space="preserve">The mapping covers all MMIF sections (Sections 1–5) with specific attention to the asset decomposition that allows the CBI to strip away investor movement noise and isolate pure portfolio performance: valuation changes due to market prices and exchange rates, separated from subscription/redemption activity.</w:t>
      </w:r>
    </w:p>
    <w:p>
      <w:pPr>
        <w:pBdr>
          <w:left w:val="single" w:color="C62828" w:sz="12"/>
        </w:pBdr>
        <w:shd w:fill="FFEBEE" w:val="clear"/>
        <w:spacing w:before="160" w:after="160"/>
        <w:ind w:left="240"/>
      </w:pPr>
      <w:r>
        <w:rPr>
          <w:rFonts w:ascii="Arial" w:cs="Arial" w:eastAsia="Arial" w:hAnsi="Arial"/>
          <w:i/>
          <w:iCs/>
          <w:color w:val="C62828"/>
          <w:sz w:val="19"/>
          <w:szCs w:val="19"/>
        </w:rPr>
        <w:t xml:space="preserve">KEY DESIGN PRINCIPLE: The MMIF does not require funds to report valuation changes directly. Instead, the CBI derives them as a residual: Closing Position − Opening Position − Net Transactions = Valuation Change. This means every data point in the MMIF must reconcile precisely, because errors in any component corrupt the derived valuation signal.</w:t>
      </w:r>
    </w:p>
    <w:p>
      <w:pPr>
        <w:spacing w:after="120"/>
      </w:pPr>
      <w:r>
        <w:rPr>
          <w:rFonts w:ascii="Arial" w:cs="Arial" w:eastAsia="Arial" w:hAnsi="Arial"/>
          <w:color w:val="333333"/>
          <w:sz w:val="20"/>
          <w:szCs w:val="20"/>
        </w:rPr>
        <w:t xml:space="preserve">The mapping is structured for integration into the existing RECON-AI L0–L3 reconciliation hierarchy, where MMIF total assets represent L0, category subtotals are L1, security-level positions are L2, and transaction-level movement analysis is L3.</w:t>
      </w:r>
    </w:p>
    <w:p>
      <w:pPr>
        <w:pStyle w:val="Heading1"/>
        <w:spacing w:before="360" w:after="200"/>
      </w:pPr>
      <w:r>
        <w:rPr>
          <w:rFonts w:ascii="Arial" w:cs="Arial" w:eastAsia="Arial" w:hAnsi="Arial"/>
          <w:b/>
          <w:bCs/>
          <w:color w:val="1B3A5C"/>
          <w:sz w:val="32"/>
          <w:szCs w:val="32"/>
        </w:rPr>
        <w:t xml:space="preserve">2. Eagle Account Structure Overview</w:t>
      </w:r>
    </w:p>
    <w:p>
      <w:pPr>
        <w:spacing w:after="120"/>
      </w:pPr>
      <w:r>
        <w:rPr>
          <w:rFonts w:ascii="Arial" w:cs="Arial" w:eastAsia="Arial" w:hAnsi="Arial"/>
          <w:color w:val="333333"/>
          <w:sz w:val="20"/>
          <w:szCs w:val="20"/>
        </w:rPr>
        <w:t xml:space="preserve">Eagle STAR uses a hierarchical chart of accounts organized by asset class, with GL account ranges that group related instruments. The ranges below represent the canonical BNY Fund Services Eagle configuration; individual fund setups may vary based on prospectus requirements, but the structural groupings remain consistent.</w:t>
      </w:r>
    </w:p>
    <w:p>
      <w:pPr>
        <w:pBdr>
          <w:left w:val="single" w:color="1565C0" w:sz="12"/>
        </w:pBdr>
        <w:shd w:fill="E3F2FD" w:val="clear"/>
        <w:spacing w:before="160" w:after="160"/>
        <w:ind w:left="240"/>
      </w:pPr>
      <w:r>
        <w:rPr>
          <w:rFonts w:ascii="Arial" w:cs="Arial" w:eastAsia="Arial" w:hAnsi="Arial"/>
          <w:i/>
          <w:iCs/>
          <w:color w:val="1565C0"/>
          <w:sz w:val="19"/>
          <w:szCs w:val="19"/>
        </w:rPr>
        <w:t xml:space="preserve">IMPORTANT: These GL ranges are illustrative of typical Eagle configurations at BNY. The Schema Mapper agent (Agent 1) is designed to dynamically learn fund-specific variations by cross-referencing the fund’s actual CoA export against MMIF taxonomy requirements.</w:t>
      </w:r>
    </w:p>
    <w:p>
      <w:pPr>
        <w:pStyle w:val="Heading2"/>
        <w:spacing w:before="280" w:after="160"/>
      </w:pPr>
      <w:r>
        <w:rPr>
          <w:rFonts w:ascii="Arial" w:cs="Arial" w:eastAsia="Arial" w:hAnsi="Arial"/>
          <w:b/>
          <w:bCs/>
          <w:color w:val="2E75B6"/>
          <w:sz w:val="26"/>
          <w:szCs w:val="26"/>
        </w:rPr>
        <w:t xml:space="preserve">2.1 Account Range Architecture</w:t>
      </w:r>
    </w:p>
    <w:p>
      <w:pPr>
        <w:spacing w:after="120"/>
      </w:pPr>
      <w:r>
        <w:rPr>
          <w:rFonts w:ascii="Arial" w:cs="Arial" w:eastAsia="Arial" w:hAnsi="Arial"/>
          <w:color w:val="333333"/>
          <w:sz w:val="20"/>
          <w:szCs w:val="20"/>
        </w:rPr>
        <w:t xml:space="preserve">Eagle organizes fund accounting data across major account groups. The first digit of the GL account range indicates the broad category: 1xxx for equity assets, 2xxx for debt securities, 3xxx for property, 4xxx for derivatives, 5xxx for cash and deposits, 6xxx for securities lending/borrowing, 7xxx for liabilities, and 8xxx for P&amp;L items. Within each range, further segmentation captures instrument subtype, currency denomination, and listing status.</w:t>
      </w:r>
    </w:p>
    <w:p>
      <w:pPr>
        <w:pStyle w:val="Heading1"/>
        <w:spacing w:before="360" w:after="200"/>
      </w:pPr>
      <w:r>
        <w:rPr>
          <w:rFonts w:ascii="Arial" w:cs="Arial" w:eastAsia="Arial" w:hAnsi="Arial"/>
          <w:b/>
          <w:bCs/>
          <w:color w:val="1B3A5C"/>
          <w:sz w:val="32"/>
          <w:szCs w:val="32"/>
        </w:rPr>
        <w:t xml:space="preserve">3. Asset Mapping: Equities (MMIF Section 3.1)</w:t>
      </w:r>
    </w:p>
    <w:p>
      <w:pPr>
        <w:spacing w:after="120"/>
      </w:pPr>
      <w:r>
        <w:rPr>
          <w:rFonts w:ascii="Arial" w:cs="Arial" w:eastAsia="Arial" w:hAnsi="Arial"/>
          <w:color w:val="333333"/>
          <w:sz w:val="20"/>
          <w:szCs w:val="20"/>
        </w:rPr>
        <w:t xml:space="preserve">Eagle equity positions map to MMIF Section 3.1 (Equity Assets Including Units/Shares in CIUs). The critical mapping considerations are: ISIN availability for CSDB lookup, instrument type classification (listed equity vs CIU shares vs ETF), and the separation of dividends accrued (3.1.5) from the equity position value.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1800"/>
        <w:gridCol w:w="1200"/>
        <w:gridCol w:w="3200"/>
        <w:gridCol w:w="308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 Type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 Notes</w:t>
            </w:r>
          </w:p>
        </w:tc>
        <w:tc>
          <w:tcPr>
            <w:tcW w:type="dxa" w:w="30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1100-1199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Listed Equities (Domestic)</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3.1</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Assets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Close price from Eagle Position Master; opening from prior Q close</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Direct 1:1 by ISIN; Eagle SECURITY_TYPE = 'EQ'</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1200-1249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Listed Equities (Foreign)</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3.1</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Assets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FX conversion: Eagle base CCY → MMIF local CCY price</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Country/sector from CSDB via ISIN lookup</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1250-1299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Unlisted/Private Equities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3.1</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Assets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 (Internal)</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Director valuation or NAV method per MMIF A.10</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Requires manual mapping; no CSDB match</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1300-1349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Units in CIUs (UCITS)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3.1</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in UCITS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NAV per unit from Eagle fund-of-fund module</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 Instrument Type = 8 (Equity in UCITS)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1350-1399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Units in CIUs (Non-UCITS)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3.1</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in Non-UCITS CIU</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NAV per unit; flag AIF vs UCITS classification</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 Instrument Type = 10 (Equity in Non-UCITS)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1400-1449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ETF Holdings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3.1</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Assets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Market price; ETF vs underlying fund distinction</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Eagle SECURITY_TYPE = 'ETF'; map to MMIF fund type</w:t>
            </w:r>
          </w:p>
        </w:tc>
      </w:tr>
    </w:tbl>
    <w:p>
      <w:pPr>
        <w:spacing w:before="200"/>
      </w:pPr>
    </w:p>
    <w:p>
      <w:pPr>
        <w:pBdr>
          <w:left w:val="single" w:color="1565C0" w:sz="12"/>
        </w:pBdr>
        <w:shd w:fill="E3F2FD" w:val="clear"/>
        <w:spacing w:before="160" w:after="160"/>
        <w:ind w:left="240"/>
      </w:pPr>
      <w:r>
        <w:rPr>
          <w:rFonts w:ascii="Arial" w:cs="Arial" w:eastAsia="Arial" w:hAnsi="Arial"/>
          <w:i/>
          <w:iCs/>
          <w:color w:val="1565C0"/>
          <w:sz w:val="19"/>
          <w:szCs w:val="19"/>
        </w:rPr>
        <w:t xml:space="preserve">RECONCILIATION CHECK: Sum of all 3.1 closing positions must equal the TB total for Eagle GL ranges 1100–1449. The Schema Mapper agent handles aggregation including CIU sub-classification (UCITS vs non-UCITS vs MMF).</w:t>
      </w:r>
    </w:p>
    <w:p>
      <w:pPr>
        <w:pStyle w:val="Heading1"/>
        <w:spacing w:before="360" w:after="200"/>
      </w:pPr>
      <w:r>
        <w:rPr>
          <w:rFonts w:ascii="Arial" w:cs="Arial" w:eastAsia="Arial" w:hAnsi="Arial"/>
          <w:b/>
          <w:bCs/>
          <w:color w:val="1B3A5C"/>
          <w:sz w:val="32"/>
          <w:szCs w:val="32"/>
        </w:rPr>
        <w:t xml:space="preserve">4. Asset Mapping: Debt Securities (MMIF Section 3.2)</w:t>
      </w:r>
    </w:p>
    <w:p>
      <w:pPr>
        <w:spacing w:after="120"/>
      </w:pPr>
      <w:r>
        <w:rPr>
          <w:rFonts w:ascii="Arial" w:cs="Arial" w:eastAsia="Arial" w:hAnsi="Arial"/>
          <w:color w:val="333333"/>
          <w:sz w:val="20"/>
          <w:szCs w:val="20"/>
        </w:rPr>
        <w:t xml:space="preserve">Debt security mapping requires particular care around the clean price vs dirty price distinction. Eagle typically stores positions at dirty price (including accrued interest), while the MMIF requires clean price reporting with accrued interest captured separately in Section 3.6 or at the line level. The Schema Mapper must decompose Eagle’s position value into clean price component and accrued interest component.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1800"/>
        <w:gridCol w:w="1200"/>
        <w:gridCol w:w="3200"/>
        <w:gridCol w:w="308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 Type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 Notes</w:t>
            </w:r>
          </w:p>
        </w:tc>
        <w:tc>
          <w:tcPr>
            <w:tcW w:type="dxa" w:w="30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2100-2199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Government Bonds (Domestic)</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Clean price (excl. accrued interest); accrued → 3.6</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Maturity date mandatory; yield to maturity calc per MMIF V12</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2200-2299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Government Bonds (Foreign)</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Clean price in CCY of issue; FX for transaction values</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Country = issuer domicile, not listing exchange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2300-2399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Corporate Bonds (IG)</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Clean price; investment grade flag = Y</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 3.2.6.3 Investment Grade: map from Eagle credit rating</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2400-2499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Corporate Bonds (HY)</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Clean price; investment grade flag = N</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Verify rating agency source matches MMIF schedule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2500-2549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Commercial Paper</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Discount price; short-term maturity profile</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Original maturity classification critical for ECB stats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2550-2599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Structured Notes / ABS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Model-based valuation if no market price</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May require Internal code if no ISIN; additional fields mandatory</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2600-2649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Convertible Bonds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Bond floor + option component</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Report as debt until conversion; then reclassify to 3.1</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2650-2699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Zero Coupon / Deep Discount</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Securities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Issue price per MMIF A.10 guidance</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No accrued interest; maturity date mandatory</w:t>
            </w:r>
          </w:p>
        </w:tc>
      </w:tr>
    </w:tbl>
    <w:p>
      <w:pPr>
        <w:spacing w:before="200"/>
      </w:pPr>
    </w:p>
    <w:p>
      <w:pPr>
        <w:pBdr>
          <w:left w:val="single" w:color="C62828" w:sz="12"/>
        </w:pBdr>
        <w:shd w:fill="FFEBEE" w:val="clear"/>
        <w:spacing w:before="160" w:after="160"/>
        <w:ind w:left="240"/>
      </w:pPr>
      <w:r>
        <w:rPr>
          <w:rFonts w:ascii="Arial" w:cs="Arial" w:eastAsia="Arial" w:hAnsi="Arial"/>
          <w:i/>
          <w:iCs/>
          <w:color w:val="C62828"/>
          <w:sz w:val="19"/>
          <w:szCs w:val="19"/>
        </w:rPr>
        <w:t xml:space="preserve">CRITICAL: Yield to maturity calculation was refined in MMIF V12 (October 2016). The formula must use the MMIF-specified methodology, not Eagle’s internal YTM calc, as differences can cause CBI validation failures.</w:t>
      </w:r>
    </w:p>
    <w:p>
      <w:pPr>
        <w:pStyle w:val="Heading1"/>
        <w:spacing w:before="360" w:after="200"/>
      </w:pPr>
      <w:r>
        <w:rPr>
          <w:rFonts w:ascii="Arial" w:cs="Arial" w:eastAsia="Arial" w:hAnsi="Arial"/>
          <w:b/>
          <w:bCs/>
          <w:color w:val="1B3A5C"/>
          <w:sz w:val="32"/>
          <w:szCs w:val="32"/>
        </w:rPr>
        <w:t xml:space="preserve">5. Asset/Liability Mapping: Derivatives (MMIF Section 4.2)</w:t>
      </w:r>
    </w:p>
    <w:p>
      <w:pPr>
        <w:spacing w:after="120"/>
      </w:pPr>
      <w:r>
        <w:rPr>
          <w:rFonts w:ascii="Arial" w:cs="Arial" w:eastAsia="Arial" w:hAnsi="Arial"/>
          <w:color w:val="333333"/>
          <w:sz w:val="20"/>
          <w:szCs w:val="20"/>
        </w:rPr>
        <w:t xml:space="preserve">Derivatives present the most complex mapping challenge because they can be either assets or liabilities depending on mark-to-market value, and Eagle may store them in separate asset/liability GL accounts while the MMIF reports them in a single A&amp;L section (4.2). The reconciliation must net the Eagle asset and liability accounts to match the MMIF’s combined view, while also handling the netting rules for gross asset value calculation in Section 4.3.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1800"/>
        <w:gridCol w:w="1200"/>
        <w:gridCol w:w="3200"/>
        <w:gridCol w:w="308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 Type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 Notes</w:t>
            </w:r>
          </w:p>
        </w:tc>
        <w:tc>
          <w:tcPr>
            <w:tcW w:type="dxa" w:w="30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4100-4149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Listed Options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Mark-to-market; asset if positive, liability if negative</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Long/short per MMIF 4.2.6.3; notional amount mandatory</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4150-4199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OTC Options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 (Internal)</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Counterparty valuation or internal model</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Sector/country = counterparty domicile, not underlier</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4200-4249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Interest Rate Swaps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 (Internal)</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NPV of net cash flows; one row per contract</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Long/short only if one leg is fixed (per CBI worked example)</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4250-4299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Credit Default Swaps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 (Internal)</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Mark-to-market of protection value</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Reference entity country/sector, not counterparty</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4300-4349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FX Forwards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 (Internal)</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Unrealized P&amp;L at spot vs. contracted rate</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Maturity = settlement date; country = counterparty</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4350-4399</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Futures (Listed)</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Daily settlement variation margin</w:t>
            </w:r>
          </w:p>
        </w:tc>
        <w:tc>
          <w:tcPr>
            <w:tcW w:type="dxa" w:w="30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Notional = contract size x units; ISIN from exchange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4400-4449</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Total Return Swaps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(A&amp;L)</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 (Internal)</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Net mark-to-market of all legs</w:t>
            </w:r>
          </w:p>
        </w:tc>
        <w:tc>
          <w:tcPr>
            <w:tcW w:type="dxa" w:w="30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Underlying reference asset details required</w:t>
            </w:r>
          </w:p>
        </w:tc>
      </w:tr>
    </w:tbl>
    <w:p>
      <w:pPr>
        <w:pStyle w:val="Heading1"/>
        <w:spacing w:before="360" w:after="200"/>
      </w:pPr>
      <w:r>
        <w:rPr>
          <w:rFonts w:ascii="Arial" w:cs="Arial" w:eastAsia="Arial" w:hAnsi="Arial"/>
          <w:b/>
          <w:bCs/>
          <w:color w:val="1B3A5C"/>
          <w:sz w:val="32"/>
          <w:szCs w:val="32"/>
        </w:rPr>
        <w:t xml:space="preserve">6. Asset Mapping: Cash, Deposits &amp; Loans (MMIF Section 3.5)</w:t>
      </w:r>
    </w:p>
    <w:p>
      <w:pPr>
        <w:spacing w:after="120"/>
      </w:pPr>
      <w:r>
        <w:rPr>
          <w:rFonts w:ascii="Arial" w:cs="Arial" w:eastAsia="Arial" w:hAnsi="Arial"/>
          <w:color w:val="333333"/>
          <w:sz w:val="20"/>
          <w:szCs w:val="20"/>
        </w:rPr>
        <w:t xml:space="preserve">Cash and deposit mappings are straightforward at the balance level but require careful handling of counterparty sector and country attribution. Eagle’s bank account master may not carry the ESA 2010 sector codes that the MMIF requires, so the Schema Mapper must maintain a counterparty enrichment table mapping bank identifiers to CBI sector codes.</w:t>
      </w:r>
    </w:p>
    <w:p>
      <w:pPr>
        <w:spacing w:after="120"/>
      </w:pPr>
      <w:r>
        <w:rPr>
          <w:rFonts w:ascii="Arial" w:cs="Arial" w:eastAsia="Arial" w:hAnsi="Arial"/>
          <w:color w:val="333333"/>
          <w:sz w:val="20"/>
          <w:szCs w:val="20"/>
        </w:rPr>
        <w:t xml:space="preserve">Margin cash treatment is a common source of breaks: initial margin is typically a cash asset in 3.5, but variation margin may be netted into derivative valuations in 4.2 depending on the fund’s accounting policy and the CBI’s latest guidance on settled vs posted variation margin.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2000"/>
        <w:gridCol w:w="1000"/>
        <w:gridCol w:w="3200"/>
        <w:gridCol w:w="368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 Type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 Notes</w:t>
            </w:r>
          </w:p>
        </w:tc>
        <w:tc>
          <w:tcPr>
            <w:tcW w:type="dxa" w:w="36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5100-5149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at Bank (Base CCY)</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3.5</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Deposits &amp; Loans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Bank statement balance at quarter-end</w:t>
            </w:r>
          </w:p>
        </w:tc>
        <w:tc>
          <w:tcPr>
            <w:tcW w:type="dxa" w:w="3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Sector = MFI; country = bank domicile (branch rule applies)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5150-5199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at Bank (Foreign CCY)</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3.5</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Deposits &amp; Loans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Converted at quarter-end spot rate</w:t>
            </w:r>
          </w:p>
        </w:tc>
        <w:tc>
          <w:tcPr>
            <w:tcW w:type="dxa" w:w="3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Each currency reported separately; aggregate by sector/country</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5200-5249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Term Deposits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3.5</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Deposits &amp; Loans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Principal + accrued interest (or accrued → 3.6)</w:t>
            </w:r>
          </w:p>
        </w:tc>
        <w:tc>
          <w:tcPr>
            <w:tcW w:type="dxa" w:w="3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Original maturity date drives ECB maturity bucket classification</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5250-5299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Money Market Deposits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3.5</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Deposits &amp; Loans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Par value; overnight or term</w:t>
            </w:r>
          </w:p>
        </w:tc>
        <w:tc>
          <w:tcPr>
            <w:tcW w:type="dxa" w:w="3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Counterparty sector critical (MFI vs non-MFI)</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5300-5349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Margin Cash (Initial)</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3.5</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Deposits &amp; Loans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posted as collateral</w:t>
            </w:r>
          </w:p>
        </w:tc>
        <w:tc>
          <w:tcPr>
            <w:tcW w:type="dxa" w:w="3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Country/sector = clearing house or broker</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5350-5399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Margin Cash (Variation)</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4.2</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Derivatives (netted)</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Netted into derivative valuation if VM</w:t>
            </w:r>
          </w:p>
        </w:tc>
        <w:tc>
          <w:tcPr>
            <w:tcW w:type="dxa" w:w="3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CBI guidance: VM settled = P&amp;L, VM posted = collateral</w:t>
            </w:r>
          </w:p>
        </w:tc>
      </w:tr>
    </w:tbl>
    <w:p>
      <w:pPr>
        <w:pStyle w:val="Heading1"/>
        <w:spacing w:before="360" w:after="200"/>
      </w:pPr>
      <w:r>
        <w:rPr>
          <w:rFonts w:ascii="Arial" w:cs="Arial" w:eastAsia="Arial" w:hAnsi="Arial"/>
          <w:b/>
          <w:bCs/>
          <w:color w:val="1B3A5C"/>
          <w:sz w:val="32"/>
          <w:szCs w:val="32"/>
        </w:rPr>
        <w:t xml:space="preserve">7. Securities Lending/Borrowing (MMIF Sections 3.4 &amp; 5.2)</w:t>
      </w:r>
    </w:p>
    <w:p>
      <w:pPr>
        <w:spacing w:after="120"/>
      </w:pPr>
      <w:r>
        <w:rPr>
          <w:rFonts w:ascii="Arial" w:cs="Arial" w:eastAsia="Arial" w:hAnsi="Arial"/>
          <w:color w:val="333333"/>
          <w:sz w:val="20"/>
          <w:szCs w:val="20"/>
        </w:rPr>
        <w:t xml:space="preserve">Securities lending and borrowing is the area most likely to cause total asset breaks between the TB and MMIF. The MMIF’s statistical treatment focuses on the cash element: securities lent/borrowed remain on the original owner’s balance sheet, while cash posted/received is treated as a loan. Eagle may record these differently depending on the fund’s accounting policy, so the Schema Mapper must normalize to the CBI’s statistical treatment.</w:t>
      </w:r>
    </w:p>
    <w:p>
      <w:pPr>
        <w:pBdr>
          <w:left w:val="single" w:color="C62828" w:sz="12"/>
        </w:pBdr>
        <w:shd w:fill="FFEBEE" w:val="clear"/>
        <w:spacing w:before="160" w:after="160"/>
        <w:ind w:left="240"/>
      </w:pPr>
      <w:r>
        <w:rPr>
          <w:rFonts w:ascii="Arial" w:cs="Arial" w:eastAsia="Arial" w:hAnsi="Arial"/>
          <w:i/>
          <w:iCs/>
          <w:color w:val="C62828"/>
          <w:sz w:val="19"/>
          <w:szCs w:val="19"/>
        </w:rPr>
        <w:t xml:space="preserve">KEY RULE (MMIF A.11): Securities lent out are recorded in 3.1.3/3.2.3 as totals but do NOT feed into total assets or total liabilities. Securities borrowed are recorded in 3.4 and also do NOT feed into totals. Only the cash element (loan asset/liability) affects the balance sheet. This is the most common source of double-counting errors.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2000"/>
        <w:gridCol w:w="1200"/>
        <w:gridCol w:w="3200"/>
        <w:gridCol w:w="366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 Type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 Notes</w:t>
            </w:r>
          </w:p>
        </w:tc>
        <w:tc>
          <w:tcPr>
            <w:tcW w:type="dxa" w:w="36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6100-6149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Reverse Repo Assets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3.4</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Borrowing</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released = loan asset</w:t>
            </w:r>
          </w:p>
        </w:tc>
        <w:tc>
          <w:tcPr>
            <w:tcW w:type="dxa" w:w="366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received recorded but NOT in total assets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6150-6199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Borrowed</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3.4</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Borrowing</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Record securities received (off-balance-sheet)</w:t>
            </w:r>
          </w:p>
        </w:tc>
        <w:tc>
          <w:tcPr>
            <w:tcW w:type="dxa" w:w="366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Rehypothecation totals tracked separately per MMIF A.11</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6200-6249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Repo Liabilities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5.2</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Lending</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received = deposit liability</w:t>
            </w:r>
          </w:p>
        </w:tc>
        <w:tc>
          <w:tcPr>
            <w:tcW w:type="dxa" w:w="366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lent out: record in 3.1.3/3.2.3 (not in total liabilities)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6250-6299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Lent Out</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5.2</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Securities Lending</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 (ISIN)</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Remain on balance sheet (risk stays with fund)</w:t>
            </w:r>
          </w:p>
        </w:tc>
        <w:tc>
          <w:tcPr>
            <w:tcW w:type="dxa" w:w="366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Totals only; do NOT feed into total assets/liabilities</w:t>
            </w:r>
          </w:p>
        </w:tc>
      </w:tr>
    </w:tbl>
    <w:p>
      <w:pPr>
        <w:pStyle w:val="Heading1"/>
        <w:spacing w:before="360" w:after="200"/>
      </w:pPr>
      <w:r>
        <w:rPr>
          <w:rFonts w:ascii="Arial" w:cs="Arial" w:eastAsia="Arial" w:hAnsi="Arial"/>
          <w:b/>
          <w:bCs/>
          <w:color w:val="1B3A5C"/>
          <w:sz w:val="32"/>
          <w:szCs w:val="32"/>
        </w:rPr>
        <w:t xml:space="preserve">8. Liability Mapping (MMIF Section 5)</w:t>
      </w:r>
    </w:p>
    <w:p>
      <w:pPr>
        <w:spacing w:after="120"/>
      </w:pPr>
      <w:r>
        <w:rPr>
          <w:rFonts w:ascii="Arial" w:cs="Arial" w:eastAsia="Arial" w:hAnsi="Arial"/>
          <w:color w:val="333333"/>
          <w:sz w:val="20"/>
          <w:szCs w:val="20"/>
        </w:rPr>
        <w:t xml:space="preserve">The liability side captures fund shares/units outstanding (5.1), securities lending liabilities (5.2), loan liabilities (5.3), accrued expenses (5.4), and other liabilities (5.5). The shares/units section is where investor flow data lives — issues and redemptions broken down by investor sector and country — which is the data the CBI uses to strip away investor movement noise from portfolio performance.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2000"/>
        <w:gridCol w:w="1200"/>
        <w:gridCol w:w="3200"/>
        <w:gridCol w:w="366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 Type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 Notes</w:t>
            </w:r>
          </w:p>
        </w:tc>
        <w:tc>
          <w:tcPr>
            <w:tcW w:type="dxa" w:w="36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7100-7149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Shares/Units Outstanding</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5.1</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Fund Shares/Units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NAV per unit x units outstanding</w:t>
            </w:r>
          </w:p>
        </w:tc>
        <w:tc>
          <w:tcPr>
            <w:tcW w:type="dxa" w:w="366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Issues/redemptions by investor sector and country mandatory</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7150-7199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Distributions Payable</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5.5</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Other Liabilities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Declared but unpaid distributions</w:t>
            </w:r>
          </w:p>
        </w:tc>
        <w:tc>
          <w:tcPr>
            <w:tcW w:type="dxa" w:w="366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Sector = shareholder sector; country = shareholder domicile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7200-7249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Management Fees Accrued</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5.4</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Accrued Expenses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Pro-rata accrual at quarter-end</w:t>
            </w:r>
          </w:p>
        </w:tc>
        <w:tc>
          <w:tcPr>
            <w:tcW w:type="dxa" w:w="366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Aggregate option available (no s-by-s required)</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7250-7299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Performance Fees Accrued</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5.4</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Accrued Expenses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Crystallized + uncrystallized portions</w:t>
            </w:r>
          </w:p>
        </w:tc>
        <w:tc>
          <w:tcPr>
            <w:tcW w:type="dxa" w:w="366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Map from Eagle fee module; aggregate reporting permitted</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7300-7349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Custody Fees Accrued</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5.4</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Accrued Expenses</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Quarter-end accrual</w:t>
            </w:r>
          </w:p>
        </w:tc>
        <w:tc>
          <w:tcPr>
            <w:tcW w:type="dxa" w:w="366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Sector = custodian's sector classification</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7350-7399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Admin Fees Accrued</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5.4</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Accrued Expenses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Quarter-end accrual</w:t>
            </w:r>
          </w:p>
        </w:tc>
        <w:tc>
          <w:tcPr>
            <w:tcW w:type="dxa" w:w="366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Sector = administrator's sector code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7400-7449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Bank Overdrafts</w:t>
            </w:r>
          </w:p>
        </w:tc>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4.1</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A&amp;L Overdraft</w:t>
            </w:r>
          </w:p>
        </w:tc>
        <w:tc>
          <w:tcPr>
            <w:tcW w:type="dxa" w:w="1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Outstanding overdraft balance</w:t>
            </w:r>
          </w:p>
        </w:tc>
        <w:tc>
          <w:tcPr>
            <w:tcW w:type="dxa" w:w="366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Netting rules: cannot net against positive cash balances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7450-7499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Loan Liabilities</w:t>
            </w:r>
          </w:p>
        </w:tc>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5.3</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Loan Liabilities</w:t>
            </w:r>
          </w:p>
        </w:tc>
        <w:tc>
          <w:tcPr>
            <w:tcW w:type="dxa" w:w="1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Outstanding principal + accrued interest</w:t>
            </w:r>
          </w:p>
        </w:tc>
        <w:tc>
          <w:tcPr>
            <w:tcW w:type="dxa" w:w="366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Original maturity and counterparty sector/country required</w:t>
            </w:r>
          </w:p>
        </w:tc>
      </w:tr>
    </w:tbl>
    <w:p>
      <w:pPr>
        <w:pStyle w:val="Heading1"/>
        <w:spacing w:before="360" w:after="200"/>
      </w:pPr>
      <w:r>
        <w:rPr>
          <w:rFonts w:ascii="Arial" w:cs="Arial" w:eastAsia="Arial" w:hAnsi="Arial"/>
          <w:b/>
          <w:bCs/>
          <w:color w:val="1B3A5C"/>
          <w:sz w:val="32"/>
          <w:szCs w:val="32"/>
        </w:rPr>
        <w:t xml:space="preserve">9. P&amp;L Mapping (MMIF Section 2)</w:t>
      </w:r>
    </w:p>
    <w:p>
      <w:pPr>
        <w:spacing w:after="120"/>
      </w:pPr>
      <w:r>
        <w:rPr>
          <w:rFonts w:ascii="Arial" w:cs="Arial" w:eastAsia="Arial" w:hAnsi="Arial"/>
          <w:color w:val="333333"/>
          <w:sz w:val="20"/>
          <w:szCs w:val="20"/>
        </w:rPr>
        <w:t xml:space="preserve">The P&amp;L section is where the MMIF’s “strip investor noise” design becomes most visible. The MMIF captures realized income (dividends, interest, rents) and expenses on an accruals basis, quarter-by-quarter. Critically, unrealized gains/losses and FX gains/losses are NOT reported directly — the CBI derives these from the balance sheet identity. This means the fund administrator must ensure that Eagle’s P&amp;L accounts are correctly decomposed: only realized items go into Section 2, while unrealized and FX items are embedded in the position and transaction data.</w:t>
      </w:r>
    </w:p>
    <w:p>
      <w:pPr>
        <w:pBdr>
          <w:left w:val="single" w:color="F57F17" w:sz="12"/>
        </w:pBdr>
        <w:shd w:fill="FFF8E1" w:val="clear"/>
        <w:spacing w:before="160" w:after="160"/>
        <w:ind w:left="240"/>
      </w:pPr>
      <w:r>
        <w:rPr>
          <w:rFonts w:ascii="Arial" w:cs="Arial" w:eastAsia="Arial" w:hAnsi="Arial"/>
          <w:i/>
          <w:iCs/>
          <w:color w:val="F57F17"/>
          <w:sz w:val="19"/>
          <w:szCs w:val="19"/>
        </w:rPr>
        <w:t xml:space="preserve">COMMON ERROR: Eagle’s default P&amp;L reports are YTD cumulative. The MMIF requires quarter-only figures. The Balance Extractor agent must subtract prior quarters’ MMIF submissions from YTD to derive the current quarter’s P&amp;L. Reporting YTD figures is a CBI validation failure (VR-010).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2000"/>
        <w:gridCol w:w="3200"/>
        <w:gridCol w:w="3480"/>
      </w:tblGrid>
      <w:tr>
        <w:trPr>
          <w:tblHeader/>
        </w:trPr>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GL Range</w:t>
            </w:r>
          </w:p>
        </w:tc>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Eagle Description</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Section</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MMIF Category</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Accrual Treatment</w:t>
            </w:r>
          </w:p>
        </w:tc>
        <w:tc>
          <w:tcPr>
            <w:tcW w:type="dxa" w:w="34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Mapping Notes</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8100-8149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Dividend Income</w:t>
            </w:r>
          </w:p>
        </w:tc>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Realized Income</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Accruals basis, not cash basis</w:t>
            </w:r>
          </w:p>
        </w:tc>
        <w:tc>
          <w:tcPr>
            <w:tcW w:type="dxa" w:w="34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Must match sum of security-level dividends accrued in 3.1.5</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8150-8199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Interest Income (Bonds)</w:t>
            </w:r>
          </w:p>
        </w:tc>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Realized Income</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Accruals basis</w:t>
            </w:r>
          </w:p>
        </w:tc>
        <w:tc>
          <w:tcPr>
            <w:tcW w:type="dxa" w:w="34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Cross-check: consistent with clean/dirty price differential</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8200-8249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Interest Income (Deposits)</w:t>
            </w:r>
          </w:p>
        </w:tc>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Realized Income</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Accruals basis</w:t>
            </w:r>
          </w:p>
        </w:tc>
        <w:tc>
          <w:tcPr>
            <w:tcW w:type="dxa" w:w="34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Must tie to deposit accrued interest in 3.5 or 3.6</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8250-8299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Rental Income</w:t>
            </w:r>
          </w:p>
        </w:tc>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Realized Income</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Accruals basis</w:t>
            </w:r>
          </w:p>
        </w:tc>
        <w:tc>
          <w:tcPr>
            <w:tcW w:type="dxa" w:w="34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Property funds: tie to 3.3 property asset income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8300-8349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Realized Gains/Losses</w:t>
            </w:r>
          </w:p>
        </w:tc>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Realized Capital G/L</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Per-security: sale proceeds - cost basis</w:t>
            </w:r>
          </w:p>
        </w:tc>
        <w:tc>
          <w:tcPr>
            <w:tcW w:type="dxa" w:w="34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NOT reported in market movements; captured in transaction flows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8350-8399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Unrealized Gains/Losses</w:t>
            </w:r>
          </w:p>
        </w:tc>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 (Derived)</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Valuation Change</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CBI derives from: closing - opening - transactions</w:t>
            </w:r>
          </w:p>
        </w:tc>
        <w:tc>
          <w:tcPr>
            <w:tcW w:type="dxa" w:w="34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Do NOT report directly; CBI calculates as residual</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8400-8449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FX Gains/Losses</w:t>
            </w:r>
          </w:p>
        </w:tc>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 (Derived)</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FX Valuation</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CBI derives from: position x (FX_close - FX_open)</w:t>
            </w:r>
          </w:p>
        </w:tc>
        <w:tc>
          <w:tcPr>
            <w:tcW w:type="dxa" w:w="34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Embedded in market movements; not separately reported</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8450-8499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Management Fee Expense</w:t>
            </w:r>
          </w:p>
        </w:tc>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Expenses</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Quarter accrual (not YTD cumulative)</w:t>
            </w:r>
          </w:p>
        </w:tc>
        <w:tc>
          <w:tcPr>
            <w:tcW w:type="dxa" w:w="34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Must tie to 5.4 / 7.2xx accrued expense balance</w:t>
            </w:r>
          </w:p>
        </w:tc>
      </w:tr>
      <w:tr>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8500-8549</w:t>
            </w:r>
          </w:p>
        </w:tc>
        <w:tc>
          <w:tcPr>
            <w:tcW w:type="dxa" w:w="2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Performance Fee Expense</w:t>
            </w:r>
          </w:p>
        </w:tc>
        <w:tc>
          <w:tcPr>
            <w:tcW w:type="dxa" w:w="14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Expenses</w:t>
            </w:r>
          </w:p>
        </w:tc>
        <w:tc>
          <w:tcPr>
            <w:tcW w:type="dxa" w:w="3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Quarter accrual</w:t>
            </w:r>
          </w:p>
        </w:tc>
        <w:tc>
          <w:tcPr>
            <w:tcW w:type="dxa" w:w="34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Tie to 5.4; watch for crystallization timing differences</w:t>
            </w:r>
          </w:p>
        </w:tc>
      </w:tr>
      <w:tr>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8550-8599</w:t>
            </w:r>
          </w:p>
        </w:tc>
        <w:tc>
          <w:tcPr>
            <w:tcW w:type="dxa" w:w="2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Other Operating Expenses</w:t>
            </w:r>
          </w:p>
        </w:tc>
        <w:tc>
          <w:tcPr>
            <w:tcW w:type="dxa" w:w="14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 (P&amp;L)</w:t>
            </w:r>
          </w:p>
        </w:tc>
        <w:tc>
          <w:tcPr>
            <w:tcW w:type="dxa" w:w="2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Expenses</w:t>
            </w:r>
          </w:p>
        </w:tc>
        <w:tc>
          <w:tcPr>
            <w:tcW w:type="dxa" w:w="3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Quarter accrual</w:t>
            </w:r>
          </w:p>
        </w:tc>
        <w:tc>
          <w:tcPr>
            <w:tcW w:type="dxa" w:w="34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Custody, admin, audit, legal, etc.</w:t>
            </w:r>
          </w:p>
        </w:tc>
      </w:tr>
    </w:tbl>
    <w:p>
      <w:pPr>
        <w:pStyle w:val="Heading1"/>
        <w:spacing w:before="360" w:after="200"/>
      </w:pPr>
      <w:r>
        <w:rPr>
          <w:rFonts w:ascii="Arial" w:cs="Arial" w:eastAsia="Arial" w:hAnsi="Arial"/>
          <w:b/>
          <w:bCs/>
          <w:color w:val="1B3A5C"/>
          <w:sz w:val="32"/>
          <w:szCs w:val="32"/>
        </w:rPr>
        <w:t xml:space="preserve">10. Validation Rules (RECON-AI VR-001 to VR-015)</w:t>
      </w:r>
    </w:p>
    <w:p>
      <w:pPr>
        <w:spacing w:after="120"/>
      </w:pPr>
      <w:r>
        <w:rPr>
          <w:rFonts w:ascii="Arial" w:cs="Arial" w:eastAsia="Arial" w:hAnsi="Arial"/>
          <w:color w:val="333333"/>
          <w:sz w:val="20"/>
          <w:szCs w:val="20"/>
        </w:rPr>
        <w:t xml:space="preserve">The following validation rules form the Reconciliation Engine’s (Agent 4) rule set. Each rule is classified by severity: Hard rules must pass for CBI submission clearance, Soft rules generate warnings for review, Derived rules validate the CBI’s own derivation logic, and Advisory rules flag data quality issues.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200"/>
        <w:gridCol w:w="900"/>
        <w:gridCol w:w="1100"/>
        <w:gridCol w:w="4680"/>
      </w:tblGrid>
      <w:tr>
        <w:trPr>
          <w:tblHeader/>
        </w:trPr>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Rule ID</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Rule Name</w:t>
            </w:r>
          </w:p>
        </w:tc>
        <w:tc>
          <w:tcPr>
            <w:tcW w:type="dxa" w:w="4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9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11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Tolerance</w:t>
            </w:r>
          </w:p>
        </w:tc>
        <w:tc>
          <w:tcPr>
            <w:tcW w:type="dxa" w:w="46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 on Break</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VR-001</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Total Assets Tie-Out</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 4.3 Total Assets = TB Total Assets (base CCY)</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0.00</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Block submission if break &gt; threshold</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Equity Subtotal</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Sum(3.1 closing positions) = TB equity account group total</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0.01 (rounding)</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Per-security aggregation rounding tolerance</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VR-003</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Debt Subtotal</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Sum(3.2 closing positions) = TB fixed income account group</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0.01</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Clean price basis; accrued interest excluded</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VR-004</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Cash Subtotal</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Sum(3.5 closing) = TB cash/deposit account group</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0.00</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No tolerance; exact match expected</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VR-005</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Derivative Net</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Sum(4.2 net MtM) = TB derivative asset - derivative liability</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Soft</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0.05</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Netting differences in OTC valuations</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VR-006</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Opening = Prior Closing</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Each security: MMIF opening = prior quarter MMIF closing</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0.00</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Flags restatements; requires break explanation</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VR-007</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Balance Identity</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Opening + Purchases - Sales + Valuation = Closing (per security)</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Derived</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CBI derives valuation; agent validates reasonableness</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VR-008</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Accrued Income</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3.6 or line-level accrued = TB accrued income accounts</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Soft</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0.02</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Timing: daily vs quarter-end accrual calc</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VR-009</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Fund Shares/Units</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5.1 closing = TB shares outstanding x NAV per unit</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0.01</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Issues - Redemptions must reconcile to TA records</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VR-010</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P&amp;L Quarter-Only</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Section 2 figures = TB Q-only P&amp;L (not YTD)</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0.01</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Common error: Eagle default is YTD; must subtract prior Qs</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VR-011</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FX Consistency</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All positions: FX rate at Q-end applied consistently</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Soft</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0.10</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Eagle multi-CCY books may use different rate sources</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VR-012</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ISIN Coverage</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 of positions with valid ISIN vs internal code</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Advisory</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&gt;95%</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CBI expects ISIN where available; flag internal-only codes</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VR-013</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Sec Lending Off-BS</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3.4/5.2 securities borrowed/lent NOT in total assets/liabilities</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0.00</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Common Eagle config error: double-counting collateral</w:t>
            </w:r>
          </w:p>
        </w:tc>
      </w:tr>
      <w:tr>
        <w:tc>
          <w:tcPr>
            <w:tcW w:type="dxa" w:w="1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VR-014</w:t>
            </w:r>
          </w:p>
        </w:tc>
        <w:tc>
          <w:tcPr>
            <w:tcW w:type="dxa" w:w="18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Short Position Sign</w:t>
            </w:r>
          </w:p>
        </w:tc>
        <w:tc>
          <w:tcPr>
            <w:tcW w:type="dxa" w:w="42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Short positions = negative assets; transactions still positive</w:t>
            </w:r>
          </w:p>
        </w:tc>
        <w:tc>
          <w:tcPr>
            <w:tcW w:type="dxa" w:w="9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Hard</w:t>
            </w:r>
          </w:p>
        </w:tc>
        <w:tc>
          <w:tcPr>
            <w:tcW w:type="dxa" w:w="11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46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Eagle short flag must map to MMIF negative opening/closing</w:t>
            </w:r>
          </w:p>
        </w:tc>
      </w:tr>
      <w:tr>
        <w:tc>
          <w:tcPr>
            <w:tcW w:type="dxa" w:w="1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VR-015</w:t>
            </w:r>
          </w:p>
        </w:tc>
        <w:tc>
          <w:tcPr>
            <w:tcW w:type="dxa" w:w="18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Investor Decomposition</w:t>
            </w:r>
          </w:p>
        </w:tc>
        <w:tc>
          <w:tcPr>
            <w:tcW w:type="dxa" w:w="42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NAV change = valuation + FX + net flows + income</w:t>
            </w:r>
          </w:p>
        </w:tc>
        <w:tc>
          <w:tcPr>
            <w:tcW w:type="dxa" w:w="9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Derived</w:t>
            </w:r>
          </w:p>
        </w:tc>
        <w:tc>
          <w:tcPr>
            <w:tcW w:type="dxa" w:w="11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0.05</w:t>
            </w:r>
          </w:p>
        </w:tc>
        <w:tc>
          <w:tcPr>
            <w:tcW w:type="dxa" w:w="46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The 'strip investor noise' check: isolate pure portfolio return</w:t>
            </w:r>
          </w:p>
        </w:tc>
      </w:tr>
    </w:tbl>
    <w:p>
      <w:pPr>
        <w:spacing w:before="200"/>
      </w:pPr>
    </w:p>
    <w:p>
      <w:pPr>
        <w:pBdr>
          <w:left w:val="single" w:color="1565C0" w:sz="12"/>
        </w:pBdr>
        <w:shd w:fill="E3F2FD" w:val="clear"/>
        <w:spacing w:before="160" w:after="160"/>
        <w:ind w:left="240"/>
      </w:pPr>
      <w:r>
        <w:rPr>
          <w:rFonts w:ascii="Arial" w:cs="Arial" w:eastAsia="Arial" w:hAnsi="Arial"/>
          <w:i/>
          <w:iCs/>
          <w:color w:val="1565C0"/>
          <w:sz w:val="19"/>
          <w:szCs w:val="19"/>
        </w:rPr>
        <w:t xml:space="preserve">VR-015 (Investor Decomposition) is the capstone validation: it verifies that the MMIF return, when decomposed, correctly separates portfolio performance from investor movement noise. This is the AI-powered check that proves the MMIF’s core analytical promise.</w:t>
      </w:r>
    </w:p>
    <w:p>
      <w:pPr>
        <w:pStyle w:val="Heading1"/>
        <w:spacing w:before="360" w:after="200"/>
      </w:pPr>
      <w:r>
        <w:rPr>
          <w:rFonts w:ascii="Arial" w:cs="Arial" w:eastAsia="Arial" w:hAnsi="Arial"/>
          <w:b/>
          <w:bCs/>
          <w:color w:val="1B3A5C"/>
          <w:sz w:val="32"/>
          <w:szCs w:val="32"/>
        </w:rPr>
        <w:t xml:space="preserve">11. RECON-AI Agent Pipeline Integration</w:t>
      </w:r>
    </w:p>
    <w:p>
      <w:pPr>
        <w:spacing w:after="120"/>
      </w:pPr>
      <w:r>
        <w:rPr>
          <w:rFonts w:ascii="Arial" w:cs="Arial" w:eastAsia="Arial" w:hAnsi="Arial"/>
          <w:color w:val="333333"/>
          <w:sz w:val="20"/>
          <w:szCs w:val="20"/>
        </w:rPr>
        <w:t xml:space="preserve">The schema mapping layer is consumed by a six-agent LangGraph pipeline that performs end-to-end MMIF-to-TB reconciliation. Each agent is a LangGraph node with defined inputs, outputs, and integration points. The Schema Mapper (Agent 1) is the subject of this document; the remaining agents consume its output.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600"/>
        <w:gridCol w:w="3000"/>
        <w:gridCol w:w="2600"/>
        <w:gridCol w:w="2180"/>
      </w:tblGrid>
      <w:tr>
        <w:trPr>
          <w:tblHeader/>
        </w:trPr>
        <w:tc>
          <w:tcPr>
            <w:tcW w:type="dxa" w:w="7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3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c>
          <w:tcPr>
            <w:tcW w:type="dxa" w:w="3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Inputs</w:t>
            </w:r>
          </w:p>
        </w:tc>
        <w:tc>
          <w:tcPr>
            <w:tcW w:type="dxa" w:w="2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Outputs</w:t>
            </w:r>
          </w:p>
        </w:tc>
        <w:tc>
          <w:tcPr>
            <w:tcW w:type="dxa" w:w="21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Integration Notes</w:t>
            </w:r>
          </w:p>
        </w:tc>
      </w:tr>
      <w:tr>
        <w:tc>
          <w:tcPr>
            <w:tcW w:type="dxa" w:w="7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1</w:t>
            </w:r>
          </w:p>
        </w:tc>
        <w:tc>
          <w:tcPr>
            <w:tcW w:type="dxa" w:w="1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Schema Mapper</w:t>
            </w:r>
          </w:p>
        </w:tc>
        <w:tc>
          <w:tcPr>
            <w:tcW w:type="dxa" w:w="3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Maps Eagle GL chart of accounts to MMIF sections using canonical mapping table + LLM for edge cases</w:t>
            </w:r>
          </w:p>
        </w:tc>
        <w:tc>
          <w:tcPr>
            <w:tcW w:type="dxa" w:w="3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Eagle CoA export, MMIF taxonomy, fund prospectus</w:t>
            </w:r>
          </w:p>
        </w:tc>
        <w:tc>
          <w:tcPr>
            <w:tcW w:type="dxa" w:w="2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Mapping table: GL Account Range -&gt; MMIF Section -&gt; Instrument Type</w:t>
            </w:r>
          </w:p>
        </w:tc>
        <w:tc>
          <w:tcPr>
            <w:tcW w:type="dxa" w:w="21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LangGraph node; uses PageIndex for prospectus cross-reference</w:t>
            </w:r>
          </w:p>
        </w:tc>
      </w:tr>
      <w:tr>
        <w:tc>
          <w:tcPr>
            <w:tcW w:type="dxa" w:w="7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2</w:t>
            </w:r>
          </w:p>
        </w:tc>
        <w:tc>
          <w:tcPr>
            <w:tcW w:type="dxa" w:w="1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Balance Extractor</w:t>
            </w:r>
          </w:p>
        </w:tc>
        <w:tc>
          <w:tcPr>
            <w:tcW w:type="dxa" w:w="3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Pulls Eagle TB for reporting period, applies Schema Mapper output, aggregates into MMIF-aligned buckets</w:t>
            </w:r>
          </w:p>
        </w:tc>
        <w:tc>
          <w:tcPr>
            <w:tcW w:type="dxa" w:w="3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Eagle TB (via API or extract), Schema Mapper output</w:t>
            </w:r>
          </w:p>
        </w:tc>
        <w:tc>
          <w:tcPr>
            <w:tcW w:type="dxa" w:w="2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MMIF-aligned balance set: opening, closing, movements per bucket</w:t>
            </w:r>
          </w:p>
        </w:tc>
        <w:tc>
          <w:tcPr>
            <w:tcW w:type="dxa" w:w="21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Eagle PACE API integration; handles multi-currency consolidation</w:t>
            </w:r>
          </w:p>
        </w:tc>
      </w:tr>
      <w:tr>
        <w:tc>
          <w:tcPr>
            <w:tcW w:type="dxa" w:w="7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3</w:t>
            </w:r>
          </w:p>
        </w:tc>
        <w:tc>
          <w:tcPr>
            <w:tcW w:type="dxa" w:w="1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 Parser</w:t>
            </w:r>
          </w:p>
        </w:tc>
        <w:tc>
          <w:tcPr>
            <w:tcW w:type="dxa" w:w="3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Parses MMIF return (Excel or XML) and extracts all reported figures at security and aggregate level</w:t>
            </w:r>
          </w:p>
        </w:tc>
        <w:tc>
          <w:tcPr>
            <w:tcW w:type="dxa" w:w="3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MMIF return file (XLSX or XML)</w:t>
            </w:r>
          </w:p>
        </w:tc>
        <w:tc>
          <w:tcPr>
            <w:tcW w:type="dxa" w:w="2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Structured MMIF data: positions, transactions, market movements</w:t>
            </w:r>
          </w:p>
        </w:tc>
        <w:tc>
          <w:tcPr>
            <w:tcW w:type="dxa" w:w="21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XML-first design; Excel adapter for legacy; validates against CBI schema</w:t>
            </w:r>
          </w:p>
        </w:tc>
      </w:tr>
      <w:tr>
        <w:tc>
          <w:tcPr>
            <w:tcW w:type="dxa" w:w="7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4</w:t>
            </w:r>
          </w:p>
        </w:tc>
        <w:tc>
          <w:tcPr>
            <w:tcW w:type="dxa" w:w="1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Reconciliation Engine</w:t>
            </w:r>
          </w:p>
        </w:tc>
        <w:tc>
          <w:tcPr>
            <w:tcW w:type="dxa" w:w="3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Multi-level matching: L0 (NAV), L1 (category), L2 (security), L3 (movement); applies validation rules VR-001 to VR-015</w:t>
            </w:r>
          </w:p>
        </w:tc>
        <w:tc>
          <w:tcPr>
            <w:tcW w:type="dxa" w:w="3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Balance Extractor output, MMIF Parser output, Validation Rules</w:t>
            </w:r>
          </w:p>
        </w:tc>
        <w:tc>
          <w:tcPr>
            <w:tcW w:type="dxa" w:w="2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Break report: matched items, breaks with severity, suggested causes</w:t>
            </w:r>
          </w:p>
        </w:tc>
        <w:tc>
          <w:tcPr>
            <w:tcW w:type="dxa" w:w="21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Core RECON-AI integration; extends existing L0-L3 hierarchy</w:t>
            </w:r>
          </w:p>
        </w:tc>
      </w:tr>
      <w:tr>
        <w:tc>
          <w:tcPr>
            <w:tcW w:type="dxa" w:w="7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5</w:t>
            </w:r>
          </w:p>
        </w:tc>
        <w:tc>
          <w:tcPr>
            <w:tcW w:type="dxa" w:w="1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Break Analyst</w:t>
            </w:r>
          </w:p>
        </w:tc>
        <w:tc>
          <w:tcPr>
            <w:tcW w:type="dxa" w:w="3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LLM-powered root cause analysis using GraphRAG pattern; matches breaks against known archetypes</w:t>
            </w:r>
          </w:p>
        </w:tc>
        <w:tc>
          <w:tcPr>
            <w:tcW w:type="dxa" w:w="30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Break report, historical break patterns (Neo4j), market data</w:t>
            </w:r>
          </w:p>
        </w:tc>
        <w:tc>
          <w:tcPr>
            <w:tcW w:type="dxa" w:w="260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Explained breaks with confidence scores; unexplained for manual review</w:t>
            </w:r>
          </w:p>
        </w:tc>
        <w:tc>
          <w:tcPr>
            <w:tcW w:type="dxa" w:w="2180"/>
            <w:tcBorders>
              <w:top w:val="single" w:color="B4C6D6" w:sz="1"/>
              <w:left w:val="single" w:color="B4C6D6" w:sz="1"/>
              <w:bottom w:val="single" w:color="B4C6D6" w:sz="1"/>
              <w:right w:val="single" w:color="B4C6D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Uses Neo4j knowledge graph; learns from resolved breaks over time</w:t>
            </w:r>
          </w:p>
        </w:tc>
      </w:tr>
      <w:tr>
        <w:tc>
          <w:tcPr>
            <w:tcW w:type="dxa" w:w="7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6</w:t>
            </w:r>
          </w:p>
        </w:tc>
        <w:tc>
          <w:tcPr>
            <w:tcW w:type="dxa" w:w="1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Attestation Generator</w:t>
            </w:r>
          </w:p>
        </w:tc>
        <w:tc>
          <w:tcPr>
            <w:tcW w:type="dxa" w:w="3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Produces structured attestation report for audit trail and CBI submission evidence</w:t>
            </w:r>
          </w:p>
        </w:tc>
        <w:tc>
          <w:tcPr>
            <w:tcW w:type="dxa" w:w="30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Reconciliation results, break explanations</w:t>
            </w:r>
          </w:p>
        </w:tc>
        <w:tc>
          <w:tcPr>
            <w:tcW w:type="dxa" w:w="260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PDF/DOCX attestation package with sign-off workflow</w:t>
            </w:r>
          </w:p>
        </w:tc>
        <w:tc>
          <w:tcPr>
            <w:tcW w:type="dxa" w:w="2180"/>
            <w:tcBorders>
              <w:top w:val="single" w:color="B4C6D6" w:sz="1"/>
              <w:left w:val="single" w:color="B4C6D6" w:sz="1"/>
              <w:bottom w:val="single" w:color="B4C6D6" w:sz="1"/>
              <w:right w:val="single" w:color="B4C6D6"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Integrates with ContextSubstrate for ADR governance gate</w:t>
            </w:r>
          </w:p>
        </w:tc>
      </w:tr>
    </w:tbl>
    <w:p>
      <w:pPr>
        <w:pStyle w:val="Heading1"/>
        <w:spacing w:before="360" w:after="200"/>
      </w:pPr>
      <w:r>
        <w:rPr>
          <w:rFonts w:ascii="Arial" w:cs="Arial" w:eastAsia="Arial" w:hAnsi="Arial"/>
          <w:b/>
          <w:bCs/>
          <w:color w:val="1B3A5C"/>
          <w:sz w:val="32"/>
          <w:szCs w:val="32"/>
        </w:rPr>
        <w:t xml:space="preserve">12. Investor Noise Decomposition: How MMIF Enables It</w:t>
      </w:r>
    </w:p>
    <w:p>
      <w:pPr>
        <w:spacing w:after="120"/>
      </w:pPr>
      <w:r>
        <w:rPr>
          <w:rFonts w:ascii="Arial" w:cs="Arial" w:eastAsia="Arial" w:hAnsi="Arial"/>
          <w:color w:val="333333"/>
          <w:sz w:val="20"/>
          <w:szCs w:val="20"/>
        </w:rPr>
        <w:t xml:space="preserve">The MMIF’s fundamental analytical contribution is enabling the CBI (and by extension, the fund administrator) to answer the question: what does the portfolio look like if we strip away investor movement noise? The MMIF achieves this through its four-component NAV change decomposition:</w:t>
      </w:r>
    </w:p>
    <w:p>
      <w:pPr>
        <w:pStyle w:val="Heading2"/>
        <w:spacing w:before="280" w:after="160"/>
      </w:pPr>
      <w:r>
        <w:rPr>
          <w:rFonts w:ascii="Arial" w:cs="Arial" w:eastAsia="Arial" w:hAnsi="Arial"/>
          <w:b/>
          <w:bCs/>
          <w:color w:val="2E75B6"/>
          <w:sz w:val="26"/>
          <w:szCs w:val="26"/>
        </w:rPr>
        <w:t xml:space="preserve">12.1 The Four-Component Identity</w:t>
      </w:r>
    </w:p>
    <w:p>
      <w:pPr>
        <w:shd w:fill="F5F5F5" w:val="clear"/>
        <w:spacing w:before="80" w:after="80"/>
        <w:ind w:left="360"/>
      </w:pPr>
      <w:r>
        <w:rPr>
          <w:rFonts w:ascii="Courier New" w:cs="Courier New" w:eastAsia="Courier New" w:hAnsi="Courier New"/>
          <w:color w:val="333333"/>
          <w:sz w:val="17"/>
          <w:szCs w:val="17"/>
        </w:rPr>
        <w:t xml:space="preserve">ΔNAV = ΔValuation(market) + ΔValuation(FX) + Net Investor Flows + Net Income</w:t>
      </w:r>
    </w:p>
    <w:p>
      <w:pPr>
        <w:spacing w:before="120"/>
      </w:pPr>
    </w:p>
    <w:p>
      <w:pPr>
        <w:spacing w:after="120"/>
      </w:pPr>
      <w:r>
        <w:rPr>
          <w:rFonts w:ascii="Arial" w:cs="Arial" w:eastAsia="Arial" w:hAnsi="Arial"/>
          <w:color w:val="333333"/>
          <w:sz w:val="20"/>
          <w:szCs w:val="20"/>
        </w:rPr>
        <w:t xml:space="preserve">Where each component maps to specific MMIF data:</w:t>
      </w:r>
    </w:p>
    <w:p>
      <w:pPr>
        <w:spacing w:after="120"/>
      </w:pPr>
      <w:r>
        <w:rPr>
          <w:rFonts w:ascii="Arial" w:cs="Arial" w:eastAsia="Arial" w:hAnsi="Arial"/>
          <w:b/>
          <w:bCs/>
          <w:color w:val="333333"/>
          <w:sz w:val="20"/>
          <w:szCs w:val="20"/>
        </w:rPr>
        <w:t xml:space="preserve">ΔValuation (market): </w:t>
      </w:r>
      <w:r>
        <w:rPr>
          <w:rFonts w:ascii="Arial" w:cs="Arial" w:eastAsia="Arial" w:hAnsi="Arial"/>
          <w:color w:val="333333"/>
          <w:sz w:val="20"/>
          <w:szCs w:val="20"/>
        </w:rPr>
        <w:t xml:space="preserve">Derived by CBI from closing positions minus opening positions minus net transactions, for each security. This is the pure market return component.</w:t>
      </w:r>
    </w:p>
    <w:p>
      <w:pPr>
        <w:spacing w:after="120"/>
      </w:pPr>
      <w:r>
        <w:rPr>
          <w:rFonts w:ascii="Arial" w:cs="Arial" w:eastAsia="Arial" w:hAnsi="Arial"/>
          <w:b/>
          <w:bCs/>
          <w:color w:val="333333"/>
          <w:sz w:val="20"/>
          <w:szCs w:val="20"/>
        </w:rPr>
        <w:t xml:space="preserve">ΔValuation (FX): </w:t>
      </w:r>
      <w:r>
        <w:rPr>
          <w:rFonts w:ascii="Arial" w:cs="Arial" w:eastAsia="Arial" w:hAnsi="Arial"/>
          <w:color w:val="333333"/>
          <w:sz w:val="20"/>
          <w:szCs w:val="20"/>
        </w:rPr>
        <w:t xml:space="preserve">Derived by CBI from position values converted at quarter-end FX rates vs quarter-start FX rates. Embedded in the market movements but separable because the MMIF requires positions in both base currency and local currency.</w:t>
      </w:r>
    </w:p>
    <w:p>
      <w:pPr>
        <w:spacing w:after="120"/>
      </w:pPr>
      <w:r>
        <w:rPr>
          <w:rFonts w:ascii="Arial" w:cs="Arial" w:eastAsia="Arial" w:hAnsi="Arial"/>
          <w:b/>
          <w:bCs/>
          <w:color w:val="333333"/>
          <w:sz w:val="20"/>
          <w:szCs w:val="20"/>
        </w:rPr>
        <w:t xml:space="preserve">Net Investor Flows: </w:t>
      </w:r>
      <w:r>
        <w:rPr>
          <w:rFonts w:ascii="Arial" w:cs="Arial" w:eastAsia="Arial" w:hAnsi="Arial"/>
          <w:color w:val="333333"/>
          <w:sz w:val="20"/>
          <w:szCs w:val="20"/>
        </w:rPr>
        <w:t xml:space="preserve">Directly reported in MMIF Section 5.1 as issues minus redemptions, broken down by investor sector and country. This is the “noise” that gets stripped away.</w:t>
      </w:r>
    </w:p>
    <w:p>
      <w:pPr>
        <w:spacing w:after="120"/>
      </w:pPr>
      <w:r>
        <w:rPr>
          <w:rFonts w:ascii="Arial" w:cs="Arial" w:eastAsia="Arial" w:hAnsi="Arial"/>
          <w:b/>
          <w:bCs/>
          <w:color w:val="333333"/>
          <w:sz w:val="20"/>
          <w:szCs w:val="20"/>
        </w:rPr>
        <w:t xml:space="preserve">Net Income: </w:t>
      </w:r>
      <w:r>
        <w:rPr>
          <w:rFonts w:ascii="Arial" w:cs="Arial" w:eastAsia="Arial" w:hAnsi="Arial"/>
          <w:color w:val="333333"/>
          <w:sz w:val="20"/>
          <w:szCs w:val="20"/>
        </w:rPr>
        <w:t xml:space="preserve">Reported in MMIF Section 2 as realized income minus expenses on an accruals basis. This represents the fund’s organic income generation.</w:t>
      </w:r>
    </w:p>
    <w:p>
      <w:pPr>
        <w:pStyle w:val="Heading2"/>
        <w:spacing w:before="280" w:after="160"/>
      </w:pPr>
      <w:r>
        <w:rPr>
          <w:rFonts w:ascii="Arial" w:cs="Arial" w:eastAsia="Arial" w:hAnsi="Arial"/>
          <w:b/>
          <w:bCs/>
          <w:color w:val="2E75B6"/>
          <w:sz w:val="26"/>
          <w:szCs w:val="26"/>
        </w:rPr>
        <w:t xml:space="preserve">12.2 What the Reconciliation Proves</w:t>
      </w:r>
    </w:p>
    <w:p>
      <w:pPr>
        <w:spacing w:after="120"/>
      </w:pPr>
      <w:r>
        <w:rPr>
          <w:rFonts w:ascii="Arial" w:cs="Arial" w:eastAsia="Arial" w:hAnsi="Arial"/>
          <w:color w:val="333333"/>
          <w:sz w:val="20"/>
          <w:szCs w:val="20"/>
        </w:rPr>
        <w:t xml:space="preserve">When VR-015 passes, it confirms that: (a) the portfolio’s intrinsic value change (market + FX) has been correctly separated from investor flow effects, (b) no transaction has been misclassified between purchase/sale and issue/redemption, (c) the P&amp;L accruals are consistent with the balance sheet movements, and (d) the MMIF return provides a clean signal for the CBI’s systemic risk monitoring.</w:t>
      </w:r>
    </w:p>
    <w:p>
      <w:pPr>
        <w:spacing w:after="120"/>
      </w:pPr>
      <w:r>
        <w:rPr>
          <w:rFonts w:ascii="Arial" w:cs="Arial" w:eastAsia="Arial" w:hAnsi="Arial"/>
          <w:color w:val="333333"/>
          <w:sz w:val="20"/>
          <w:szCs w:val="20"/>
        </w:rPr>
        <w:t xml:space="preserve">For BNY’s cross-client benchmarking use case, this decomposition means we can compare “pure portfolio returns” across funds with very different subscription/redemption patterns, eliminating the distortion that large investor flows create in raw NAV change comparisons.</w:t>
      </w:r>
    </w:p>
    <w:p>
      <w:pPr>
        <w:pStyle w:val="Heading1"/>
        <w:spacing w:before="360" w:after="200"/>
      </w:pPr>
      <w:r>
        <w:rPr>
          <w:rFonts w:ascii="Arial" w:cs="Arial" w:eastAsia="Arial" w:hAnsi="Arial"/>
          <w:b/>
          <w:bCs/>
          <w:color w:val="1B3A5C"/>
          <w:sz w:val="32"/>
          <w:szCs w:val="32"/>
        </w:rPr>
        <w:t xml:space="preserve">13. Implementation Notes for Eagle Integration</w:t>
      </w:r>
    </w:p>
    <w:p>
      <w:pPr>
        <w:pStyle w:val="Heading2"/>
        <w:spacing w:before="280" w:after="160"/>
      </w:pPr>
      <w:r>
        <w:rPr>
          <w:rFonts w:ascii="Arial" w:cs="Arial" w:eastAsia="Arial" w:hAnsi="Arial"/>
          <w:b/>
          <w:bCs/>
          <w:color w:val="2E75B6"/>
          <w:sz w:val="26"/>
          <w:szCs w:val="26"/>
        </w:rPr>
        <w:t xml:space="preserve">13.1 Eagle PACE API Data Extraction</w:t>
      </w:r>
    </w:p>
    <w:p>
      <w:pPr>
        <w:spacing w:after="120"/>
      </w:pPr>
      <w:r>
        <w:rPr>
          <w:rFonts w:ascii="Arial" w:cs="Arial" w:eastAsia="Arial" w:hAnsi="Arial"/>
          <w:color w:val="333333"/>
          <w:sz w:val="20"/>
          <w:szCs w:val="20"/>
        </w:rPr>
        <w:t xml:space="preserve">The Balance Extractor agent connects to Eagle via the PACE API (or batch file export for environments without API access). Required extracts include: Position Master (security-level positions with ISIN, quantity, market value, local and base currency values), Transaction History (all period transactions with trade date, settlement date, quantity, price, and amount), Trial Balance (full GL extract with opening and closing balances and period movements), and the Chart of Accounts master file.</w:t>
      </w:r>
    </w:p>
    <w:p>
      <w:pPr>
        <w:pStyle w:val="Heading2"/>
        <w:spacing w:before="280" w:after="160"/>
      </w:pPr>
      <w:r>
        <w:rPr>
          <w:rFonts w:ascii="Arial" w:cs="Arial" w:eastAsia="Arial" w:hAnsi="Arial"/>
          <w:b/>
          <w:bCs/>
          <w:color w:val="2E75B6"/>
          <w:sz w:val="26"/>
          <w:szCs w:val="26"/>
        </w:rPr>
        <w:t xml:space="preserve">13.2 Multi-Currency Handling</w:t>
      </w:r>
    </w:p>
    <w:p>
      <w:pPr>
        <w:spacing w:after="120"/>
      </w:pPr>
      <w:r>
        <w:rPr>
          <w:rFonts w:ascii="Arial" w:cs="Arial" w:eastAsia="Arial" w:hAnsi="Arial"/>
          <w:color w:val="333333"/>
          <w:sz w:val="20"/>
          <w:szCs w:val="20"/>
        </w:rPr>
        <w:t xml:space="preserve">Eagle stores positions in both local currency (currency of the security) and base currency (fund reporting currency). The MMIF requires: closing and opening positions in base currency, market prices in local currency of the security, and transactions at trade-date exchange rates (or quarterly average). The Schema Mapper must flag where Eagle’s FX rate source differs from the CBI’s expected rate source, as this is a common cause of small breaks in VR-011.</w:t>
      </w:r>
    </w:p>
    <w:p>
      <w:pPr>
        <w:pStyle w:val="Heading2"/>
        <w:spacing w:before="280" w:after="160"/>
      </w:pPr>
      <w:r>
        <w:rPr>
          <w:rFonts w:ascii="Arial" w:cs="Arial" w:eastAsia="Arial" w:hAnsi="Arial"/>
          <w:b/>
          <w:bCs/>
          <w:color w:val="2E75B6"/>
          <w:sz w:val="26"/>
          <w:szCs w:val="26"/>
        </w:rPr>
        <w:t xml:space="preserve">13.3 New XML Format (2026 Regime)</w:t>
      </w:r>
    </w:p>
    <w:p>
      <w:pPr>
        <w:spacing w:after="120"/>
      </w:pPr>
      <w:r>
        <w:rPr>
          <w:rFonts w:ascii="Arial" w:cs="Arial" w:eastAsia="Arial" w:hAnsi="Arial"/>
          <w:color w:val="333333"/>
          <w:sz w:val="20"/>
          <w:szCs w:val="20"/>
        </w:rPr>
        <w:t xml:space="preserve">With the transition from Excel to XML submission from February 2026, the MMIF Parser agent is designed XML-first. The XML schema follows CBI/ECB taxonomy with validation rules embedded in the schema definition. The parser extracts data from the XML structure and maps it to the same internal representation used for Excel parsing, ensuring the reconciliation engine is format-agnostic.</w:t>
      </w:r>
    </w:p>
    <w:p>
      <w:pPr>
        <w:spacing w:after="120"/>
      </w:pPr>
      <w:r>
        <w:rPr>
          <w:rFonts w:ascii="Arial" w:cs="Arial" w:eastAsia="Arial" w:hAnsi="Arial"/>
          <w:color w:val="333333"/>
          <w:sz w:val="20"/>
          <w:szCs w:val="20"/>
        </w:rPr>
        <w:t xml:space="preserve">The CBI’s offline validation tools are being discontinued, which means the fund administrator must perform schema validation locally before submission. The RECON-AI pipeline integrates schema validation as a pre-reconciliation step, catching XML structural errors before the more expensive reconciliation logic runs.</w:t>
      </w:r>
    </w:p>
    <w:p>
      <w:pPr>
        <w:pStyle w:val="Heading2"/>
        <w:spacing w:before="280" w:after="160"/>
      </w:pPr>
      <w:r>
        <w:rPr>
          <w:rFonts w:ascii="Arial" w:cs="Arial" w:eastAsia="Arial" w:hAnsi="Arial"/>
          <w:b/>
          <w:bCs/>
          <w:color w:val="2E75B6"/>
          <w:sz w:val="26"/>
          <w:szCs w:val="26"/>
        </w:rPr>
        <w:t xml:space="preserve">13.4 ContextSubstrate ADR Governance Gate</w:t>
      </w:r>
    </w:p>
    <w:p>
      <w:pPr>
        <w:spacing w:after="120"/>
      </w:pPr>
      <w:r>
        <w:rPr>
          <w:rFonts w:ascii="Arial" w:cs="Arial" w:eastAsia="Arial" w:hAnsi="Arial"/>
          <w:color w:val="333333"/>
          <w:sz w:val="20"/>
          <w:szCs w:val="20"/>
        </w:rPr>
        <w:t xml:space="preserve">The MMIF reconciliation module registers as a ContextSubstrate governance gate, meaning the attestation output (Agent 6) can serve as a required approval step in the CBI submission CI/CD pipeline. If the reconciliation fails (any Hard validation rule breaks), the governance gate blocks submission and routes the break report to the designated reviewer.</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2026-03-13T00:23:49.366Z</dcterms:created>
  <dcterms:modified xsi:type="dcterms:W3CDTF">2026-03-13T00:23:49.367Z</dcterms:modified>
</cp:coreProperties>
</file>

<file path=docProps/custom.xml><?xml version="1.0" encoding="utf-8"?>
<Properties xmlns="http://schemas.openxmlformats.org/officeDocument/2006/custom-properties" xmlns:vt="http://schemas.openxmlformats.org/officeDocument/2006/docPropsVTypes"/>
</file>