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65D"/>
          <w:sz w:val="44"/>
          <w:szCs w:val="44"/>
        </w:rPr>
        <w:t xml:space="preserve">RECON-AI Document Intelligence</w:t>
      </w:r>
    </w:p>
    <w:p>
      <w:pPr>
        <w:spacing w:after="600"/>
        <w:jc w:val="center"/>
      </w:pPr>
      <w:r>
        <w:rPr>
          <w:rFonts w:ascii="Arial" w:cs="Arial" w:eastAsia="Arial" w:hAnsi="Arial"/>
          <w:color w:val="475467"/>
          <w:sz w:val="28"/>
          <w:szCs w:val="28"/>
        </w:rPr>
        <w:t xml:space="preserve">Mapping Agent Tool Schemas &amp; Context Pipeline Specification</w:t>
      </w:r>
    </w:p>
    <w:p>
      <w:pPr>
        <w:pBdr>
          <w:top w:val="single" w:color="2E90FA" w:sz="8" w:space="8"/>
        </w:pBdr>
        <w:spacing w:after="120" w:before="400"/>
        <w:jc w:val="center"/>
      </w:pPr>
      <w:r>
        <w:rPr>
          <w:rFonts w:ascii="Arial" w:cs="Arial" w:eastAsia="Arial" w:hAnsi="Arial"/>
          <w:color w:val="475467"/>
          <w:sz w:val="22"/>
          <w:szCs w:val="22"/>
        </w:rPr>
        <w:t xml:space="preserve">Version 1.0  |  March 2026</w:t>
      </w:r>
    </w:p>
    <w:p>
      <w:pPr>
        <w:spacing w:after="120"/>
        <w:jc w:val="center"/>
      </w:pPr>
      <w:r>
        <w:rPr>
          <w:rFonts w:ascii="Arial" w:cs="Arial" w:eastAsia="Arial" w:hAnsi="Arial"/>
          <w:color w:val="475467"/>
          <w:sz w:val="22"/>
          <w:szCs w:val="22"/>
        </w:rPr>
        <w:t xml:space="preserve">Fund Administration Reconciliation Platform</w:t>
      </w:r>
    </w:p>
    <w:p>
      <w:pPr>
        <w:jc w:val="center"/>
      </w:pPr>
      <w:r>
        <w:rPr>
          <w:rFonts w:ascii="Arial" w:cs="Arial" w:eastAsia="Arial" w:hAnsi="Arial"/>
          <w:color w:val="475467"/>
          <w:sz w:val="20"/>
          <w:szCs w:val="20"/>
        </w:rPr>
        <w:t xml:space="preserve">Author: Selwyn Theo  |  Status: Draft</w:t>
      </w:r>
    </w:p>
    <w:p>
      <w:r>
        <w:br w:type="page"/>
      </w:r>
    </w:p>
    <w:p>
      <w:pPr>
        <w:pStyle w:val="Heading1"/>
      </w:pPr>
      <w:r>
        <w:t xml:space="preserve">1. Overview</w:t>
      </w:r>
    </w:p>
    <w:p>
      <w:pPr>
        <w:spacing w:after="120"/>
      </w:pPr>
      <w:r>
        <w:rPr>
          <w:rFonts w:ascii="Arial" w:cs="Arial" w:eastAsia="Arial" w:hAnsi="Arial"/>
          <w:color w:val="344054"/>
          <w:sz w:val="22"/>
          <w:szCs w:val="22"/>
        </w:rPr>
        <w:t xml:space="preserve">This specification defines the tool schemas, context assembly pipeline, and agent orchestration patterns for the RECON-AI Document Intelligence Mapping Agent. The agent operates as a browser-based AI assistant that processes incumbent fund administration files (PDFs, Excel, CSVs from State Street, Northern Trust, JP Morgan, and other providers) and generates mappings to the BNY canonical data model.</w:t>
      </w:r>
    </w:p>
    <w:p>
      <w:pPr>
        <w:spacing w:after="80"/>
      </w:pPr>
    </w:p>
    <w:p>
      <w:pPr>
        <w:spacing w:after="120"/>
      </w:pPr>
      <w:r>
        <w:rPr>
          <w:rFonts w:ascii="Arial" w:cs="Arial" w:eastAsia="Arial" w:hAnsi="Arial"/>
          <w:color w:val="344054"/>
          <w:sz w:val="22"/>
          <w:szCs w:val="22"/>
        </w:rPr>
        <w:t xml:space="preserve">The architecture follows the coding-agent paradigm established by tools like Windsurf and Cursor, adapted for the fund administration domain. Rather than understanding a codebase, the agent understands incumbent file structures and maps them to canonical table schemas. The same principles apply: tiered context loading, purpose-built tools, and iterative human-in-the-loop refinement.</w:t>
      </w:r>
    </w:p>
    <w:p>
      <w:r>
        <w:br w:type="page"/>
      </w:r>
    </w:p>
    <w:p>
      <w:pPr>
        <w:pStyle w:val="Heading1"/>
      </w:pPr>
      <w:r>
        <w:t xml:space="preserve">2. Tool Schemas</w:t>
      </w:r>
    </w:p>
    <w:p>
      <w:pPr>
        <w:spacing w:after="120"/>
      </w:pPr>
      <w:r>
        <w:rPr>
          <w:rFonts w:ascii="Arial" w:cs="Arial" w:eastAsia="Arial" w:hAnsi="Arial"/>
          <w:color w:val="344054"/>
          <w:sz w:val="22"/>
          <w:szCs w:val="22"/>
        </w:rPr>
        <w:t xml:space="preserve">The mapping agent has access to four categories of tools. Each tool is defined with typed parameters, return schemas, and usage guidance. Tools are invoked by the LLM via structured function calling and executed server-side with results returned to the agent context.</w:t>
      </w:r>
    </w:p>
    <w:p>
      <w:pPr>
        <w:pStyle w:val="Heading2"/>
      </w:pPr>
      <w:r>
        <w:t xml:space="preserve">2.1 Discovery Tools</w:t>
      </w:r>
    </w:p>
    <w:p>
      <w:pPr>
        <w:spacing w:after="120"/>
      </w:pPr>
      <w:r>
        <w:rPr>
          <w:rFonts w:ascii="Arial" w:cs="Arial" w:eastAsia="Arial" w:hAnsi="Arial"/>
          <w:color w:val="344054"/>
          <w:sz w:val="22"/>
          <w:szCs w:val="22"/>
        </w:rPr>
        <w:t xml:space="preserve">Discovery tools enable the agent to explore and understand source files and the target canonical model. These are read-only operations that populate the agent's working context.</w:t>
      </w:r>
    </w:p>
    <w:p>
      <w:pPr>
        <w:spacing w:after="80"/>
      </w:pPr>
    </w:p>
    <w:p>
      <w:pPr>
        <w:pStyle w:val="Heading3"/>
      </w:pPr>
      <w:r>
        <w:t xml:space="preserve">inspect_source_file</w:t>
      </w:r>
    </w:p>
    <w:p>
      <w:pPr>
        <w:spacing w:after="120"/>
      </w:pPr>
      <w:r>
        <w:rPr>
          <w:rFonts w:ascii="Arial" w:cs="Arial" w:eastAsia="Arial" w:hAnsi="Arial"/>
          <w:color w:val="344054"/>
          <w:sz w:val="22"/>
          <w:szCs w:val="22"/>
        </w:rPr>
        <w:t xml:space="preserve">Parses and returns the structural metadata of an uploaded incumbent file. For large files, supports section-scoped inspection to stay within token budgets. Returns column headers, detected data types, sample values, and structural annotations (merged cells, header hierarchies, section breaks).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file_id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UUID of the uploaded file in the session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section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Named section or sheet tab to inspect (e.g., 'Sheet2', 'Positions')</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sample_rows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sample data rows to return (default: 5, max: 20)</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include_stats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Include basic column statistics (nulls, unique count, min/max)</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file_name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Original filename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file_type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PDF | XLSX | CSV | TSV</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sections[]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List of detected sections/sheets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Array&lt;ColumnMeta&gt;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Column definitions with header, dtype, samples, position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columns[].name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Detected column header text</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columns[].data_type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 | DECIMAL | INTEGER | DATE | CURRENCY | IDENTIFIER | BOOLEAN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columns[].samples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Representative sample values (deduplicated)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columns[].null_pct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Percentage of null/empty values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columns[].position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Zero-indexed column position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structural_notes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Annotations about merged cells, multi-row headers, etc.</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detected_provider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Inferred incumbent provider (State Street, Northern Trust, etc.)</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detected_report_type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Inferred report type (Position Report, Transaction Log, etc.)</w:t>
            </w:r>
          </w:p>
        </w:tc>
      </w:tr>
    </w:tbl>
    <w:p>
      <w:pPr>
        <w:spacing w:after="80"/>
      </w:pPr>
    </w:p>
    <w:p>
      <w:pPr>
        <w:spacing w:after="80"/>
      </w:pPr>
    </w:p>
    <w:p>
      <w:pPr>
        <w:pStyle w:val="Heading3"/>
      </w:pPr>
      <w:r>
        <w:t xml:space="preserve">search_canonical_model</w:t>
      </w:r>
    </w:p>
    <w:p>
      <w:pPr>
        <w:spacing w:after="120"/>
      </w:pPr>
      <w:r>
        <w:rPr>
          <w:rFonts w:ascii="Arial" w:cs="Arial" w:eastAsia="Arial" w:hAnsi="Arial"/>
          <w:color w:val="344054"/>
          <w:sz w:val="22"/>
          <w:szCs w:val="22"/>
        </w:rPr>
        <w:t xml:space="preserve">Performs semantic and keyword search across the canonical data model field definitions. Returns matching fields ranked by relevance, with full context including table name, field type, data type, definition, and business rules. This is the primary retrieval tool for mapping decisions.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query</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Search query (field name, concept, or 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table_filter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Restrict search to a specific canonical table (e.g., 'dataDailyTransactions')</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field_type_filter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Filter by field type (Key, Transaction, Position, Ledger, etc.)</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top_k</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results to return (default: 5, max: 15)</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Array&lt;FieldMatch&gt;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Ranked list of matching canonical fields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results[].table_name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Canonical table (e.g., 'dataSubLedgerPosition')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results[].field_name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Field name (e.g., 'marketValueLocal')</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results[].field_type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Field category (Key, Transaction, Position, etc.)</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results[].data_type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Data type with precision (e.g., 'Decimal(18,2)')</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results[].definition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Business definition of the field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results[].business_rules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Validation rules and constraints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results[].relevance_score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Semantic similarity score (0.0–1.0)</w:t>
            </w:r>
          </w:p>
        </w:tc>
      </w:tr>
    </w:tbl>
    <w:p>
      <w:pPr>
        <w:spacing w:after="80"/>
      </w:pPr>
    </w:p>
    <w:p>
      <w:pPr>
        <w:spacing w:after="80"/>
      </w:pPr>
    </w:p>
    <w:p>
      <w:pPr>
        <w:pStyle w:val="Heading3"/>
      </w:pPr>
      <w:r>
        <w:t xml:space="preserve">get_canonical_table</w:t>
      </w:r>
    </w:p>
    <w:p>
      <w:pPr>
        <w:spacing w:after="120"/>
      </w:pPr>
      <w:r>
        <w:rPr>
          <w:rFonts w:ascii="Arial" w:cs="Arial" w:eastAsia="Arial" w:hAnsi="Arial"/>
          <w:color w:val="344054"/>
          <w:sz w:val="22"/>
          <w:szCs w:val="22"/>
        </w:rPr>
        <w:t xml:space="preserve">Returns the complete schema definition of a specific canonical table, including all fields, their types, definitions, business rules, and key constraints. Used when the agent needs the full mapping surface for a table rather than individual field lookups.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table_name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Canonical table name (e.g., 'dataNav', 'dataLedger')</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include_system_fields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Include system-specific fields like Eagle/InvestOne extensions</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table_name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Table name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description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Table purpose and business context</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grain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Row granularity (e.g., 'One row per transaction per valuation date')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update_frequency</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How often the table is refreshed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key_fields[]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Array&lt;FieldDef&gt;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Primary key field definitions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data_fields[]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Array&lt;FieldDef&gt;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Non-key field definitions grouped by field_type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total_field_count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Total number of fields in the table</w:t>
            </w:r>
          </w:p>
        </w:tc>
      </w:tr>
    </w:tbl>
    <w:p>
      <w:pPr>
        <w:spacing w:after="80"/>
      </w:pPr>
    </w:p>
    <w:p>
      <w:pPr>
        <w:spacing w:after="80"/>
      </w:pPr>
    </w:p>
    <w:p>
      <w:pPr>
        <w:pStyle w:val="Heading3"/>
      </w:pPr>
      <w:r>
        <w:t xml:space="preserve">search_templates</w:t>
      </w:r>
    </w:p>
    <w:p>
      <w:pPr>
        <w:spacing w:after="120"/>
      </w:pPr>
      <w:r>
        <w:rPr>
          <w:rFonts w:ascii="Arial" w:cs="Arial" w:eastAsia="Arial" w:hAnsi="Arial"/>
          <w:color w:val="344054"/>
          <w:sz w:val="22"/>
          <w:szCs w:val="22"/>
        </w:rPr>
        <w:t xml:space="preserve">Retrieves previously approved mapping configurations for similar files. Templates encode column-to-field mappings, transformation rules, and known differences established during prior fund onboarding. Enables the agent to propose bulk mappings with high confidence for known file formats.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incumbent_provider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Provider name (e.g., 'State Street', 'Northern Trust')</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fund_type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Fund type filter (Equity, Fixed Income, Multi-Asset, etc.)</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report_type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Report type filter (Position Report, NAV Statement, etc.)</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table_name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Filter templates targeting a specific canonical table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top_k</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templates to return (default: 3)</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Array&lt;Template&gt;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Ranked list of matching templates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templates[].template_id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Unique template identifier</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Human-readable template name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templates[].incumbent_provider</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provider</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templates[].fund_type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Fund type this template was created for</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templates[].mapping_count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column mappings in the template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templates[].approval_date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Date</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When the template was last approved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templates[].usage_count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How many funds have used this template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templates[].mappings[]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Array&lt;Mapping&gt;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The actual column-to-field mapping definitions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templates[].confidence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Template match confidence for this file (0.0–1.0)</w:t>
            </w:r>
          </w:p>
        </w:tc>
      </w:tr>
    </w:tbl>
    <w:p>
      <w:pPr>
        <w:spacing w:after="80"/>
      </w:pPr>
    </w:p>
    <w:p>
      <w:pPr>
        <w:spacing w:after="80"/>
      </w:pPr>
    </w:p>
    <w:p>
      <w:r>
        <w:br w:type="page"/>
      </w:r>
    </w:p>
    <w:p>
      <w:pPr>
        <w:pStyle w:val="Heading2"/>
      </w:pPr>
      <w:r>
        <w:t xml:space="preserve">2.2 Reasoning Tools</w:t>
      </w:r>
    </w:p>
    <w:p>
      <w:pPr>
        <w:spacing w:after="120"/>
      </w:pPr>
      <w:r>
        <w:rPr>
          <w:rFonts w:ascii="Arial" w:cs="Arial" w:eastAsia="Arial" w:hAnsi="Arial"/>
          <w:color w:val="344054"/>
          <w:sz w:val="22"/>
          <w:szCs w:val="22"/>
        </w:rPr>
        <w:t xml:space="preserve">Reasoning tools help the agent analyze data, validate hypotheses, and make informed mapping decisions. These tools execute deterministic logic and return structured results for the agent to incorporate into its reasoning.</w:t>
      </w:r>
    </w:p>
    <w:p>
      <w:pPr>
        <w:spacing w:after="80"/>
      </w:pPr>
    </w:p>
    <w:p>
      <w:pPr>
        <w:pStyle w:val="Heading3"/>
      </w:pPr>
      <w:r>
        <w:t xml:space="preserve">analyze_column_samples</w:t>
      </w:r>
    </w:p>
    <w:p>
      <w:pPr>
        <w:spacing w:after="120"/>
      </w:pPr>
      <w:r>
        <w:rPr>
          <w:rFonts w:ascii="Arial" w:cs="Arial" w:eastAsia="Arial" w:hAnsi="Arial"/>
          <w:color w:val="344054"/>
          <w:sz w:val="22"/>
          <w:szCs w:val="22"/>
        </w:rPr>
        <w:t xml:space="preserve">Performs statistical and heuristic analysis on column sample values to classify the data domain. Uses pattern matching (regex for dates, identifiers, currencies), statistical analysis (distribution, cardinality), and reference data lookups to determine what kind of fund accounting data the column represents.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column_name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The source column header text</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sample_values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5–20 representative values from the column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context_columns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Names of adjacent columns for positional context</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classification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Primary classification: SECURITY_ID | CURRENCY_AMOUNT | DATE | ACCOUNTING_CODE | FUND_ID | SHARE_CLASS | QUANTITY | PERCENTAGE | DESCRIPTION | UNKNOWN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sub_classification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Refinement (e.g., CUSIP vs ISIN vs SEDOL for SECURITY_ID)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confidence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Classification confidence (0.0–1.0)</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detected_format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Detected format pattern (e.g., 'YYYY-MM-DD', '9-char alphanumeric')</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canonical_candidates[]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Suggested canonical field names based on classification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reasoning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Explanation of classification logic</w:t>
            </w:r>
          </w:p>
        </w:tc>
      </w:tr>
    </w:tbl>
    <w:p>
      <w:pPr>
        <w:spacing w:after="80"/>
      </w:pPr>
    </w:p>
    <w:p>
      <w:pPr>
        <w:spacing w:after="80"/>
      </w:pPr>
    </w:p>
    <w:p>
      <w:pPr>
        <w:pStyle w:val="Heading3"/>
      </w:pPr>
      <w:r>
        <w:t xml:space="preserve">validate_mapping</w:t>
      </w:r>
    </w:p>
    <w:p>
      <w:pPr>
        <w:spacing w:after="120"/>
      </w:pPr>
      <w:r>
        <w:rPr>
          <w:rFonts w:ascii="Arial" w:cs="Arial" w:eastAsia="Arial" w:hAnsi="Arial"/>
          <w:color w:val="344054"/>
          <w:sz w:val="22"/>
          <w:szCs w:val="22"/>
        </w:rPr>
        <w:t xml:space="preserve">Tests a proposed column-to-field mapping against the canonical model's business rules and data type constraints. Runs sample data through the target field's validation rules and reports compatibility. This is the agent's quality gate before proposing a mapping.</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source_column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column header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target_table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Target canonical table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target_field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Target canonical field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sample_data</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Sample values to validate against target field rules</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transformation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Optional CEL expression for data transformation</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valid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Whether the mapping passes all validation checks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checks[]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Array&lt;Check&gt;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Individual validation check results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checks[].rule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Rule name (e.g., 'data_type_compatible', 'precision_sufficient')</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checks[].passed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Whether this specific check passed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checks[].detail</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Explanation of result</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type_coercion_needed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Whether automatic type conversion is required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precision_loss_risk</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Whether mapping may lose data precision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sample_transformed[]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Sample values after applying transformation (if provided)</w:t>
            </w:r>
          </w:p>
        </w:tc>
      </w:tr>
    </w:tbl>
    <w:p>
      <w:pPr>
        <w:spacing w:after="80"/>
      </w:pPr>
    </w:p>
    <w:p>
      <w:pPr>
        <w:spacing w:after="80"/>
      </w:pPr>
    </w:p>
    <w:p>
      <w:pPr>
        <w:pStyle w:val="Heading3"/>
      </w:pPr>
      <w:r>
        <w:t xml:space="preserve">compare_with_template</w:t>
      </w:r>
    </w:p>
    <w:p>
      <w:pPr>
        <w:spacing w:after="120"/>
      </w:pPr>
      <w:r>
        <w:rPr>
          <w:rFonts w:ascii="Arial" w:cs="Arial" w:eastAsia="Arial" w:hAnsi="Arial"/>
          <w:color w:val="344054"/>
          <w:sz w:val="22"/>
          <w:szCs w:val="22"/>
        </w:rPr>
        <w:t xml:space="preserve">Diffs a set of proposed mappings against an existing template. Highlights new mappings not in the template, mappings that differ from the template, and template mappings missing from the proposal. Used for quality assurance when applying templates to new files with slight variations.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proposed_mappings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Array&lt;Mapping&gt;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Current proposed mapping set</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template_id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Template to compare against</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matches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mappings identical to template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additions[]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Array&lt;Mapping&gt;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New mappings not in the template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modifications[]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Array&lt;Diff&gt;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Mappings that differ (with both proposed and template versions)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missing[]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Array&lt;Mapping&gt;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Template mappings not present in proposal</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compatibility_score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Overall compatibility percentage (0.0–1.0)</w:t>
            </w:r>
          </w:p>
        </w:tc>
      </w:tr>
    </w:tbl>
    <w:p>
      <w:pPr>
        <w:spacing w:after="80"/>
      </w:pPr>
    </w:p>
    <w:p>
      <w:pPr>
        <w:spacing w:after="80"/>
      </w:pPr>
    </w:p>
    <w:p>
      <w:r>
        <w:br w:type="page"/>
      </w:r>
    </w:p>
    <w:p>
      <w:pPr>
        <w:pStyle w:val="Heading2"/>
      </w:pPr>
      <w:r>
        <w:t xml:space="preserve">2.3 Action Tools</w:t>
      </w:r>
    </w:p>
    <w:p>
      <w:pPr>
        <w:spacing w:after="120"/>
      </w:pPr>
      <w:r>
        <w:rPr>
          <w:rFonts w:ascii="Arial" w:cs="Arial" w:eastAsia="Arial" w:hAnsi="Arial"/>
          <w:color w:val="344054"/>
          <w:sz w:val="22"/>
          <w:szCs w:val="22"/>
        </w:rPr>
        <w:t xml:space="preserve">Action tools allow the agent to record decisions, escalate ambiguities, and apply bulk operations. These tools mutate the mapping session state and trigger UI updates via WebSocket.</w:t>
      </w:r>
    </w:p>
    <w:p>
      <w:pPr>
        <w:spacing w:after="80"/>
      </w:pPr>
    </w:p>
    <w:p>
      <w:pPr>
        <w:pStyle w:val="Heading3"/>
      </w:pPr>
      <w:r>
        <w:t xml:space="preserve">propose_mapping</w:t>
      </w:r>
    </w:p>
    <w:p>
      <w:pPr>
        <w:spacing w:after="120"/>
      </w:pPr>
      <w:r>
        <w:rPr>
          <w:rFonts w:ascii="Arial" w:cs="Arial" w:eastAsia="Arial" w:hAnsi="Arial"/>
          <w:color w:val="344054"/>
          <w:sz w:val="22"/>
          <w:szCs w:val="22"/>
        </w:rPr>
        <w:t xml:space="preserve">Records a mapping proposal for a single source column to a canonical field. The proposal enters a 'pending' state visible in the UI and requires human approval. The agent must provide its reasoning and confidence score for audit trail purposes.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source_column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column header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target_table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Target canonical table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target_field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Target canonical field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confidence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Agent confidence score (0.0–1.0)</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reasoning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Explanation of why this mapping was chosen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transformation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CEL expression for data transformation (if needed)</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known_difference_ref</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Reference to a known difference code (e.g., 'KD1', 'KD4')</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mapping_id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UUID of the created mapping proposal</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status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PENDING_REVIEW | AUTO_APPROVED (if confidence &gt;= threshold)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created_at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DateTime</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Timestamp of proposal creation</w:t>
            </w:r>
          </w:p>
        </w:tc>
      </w:tr>
    </w:tbl>
    <w:p>
      <w:pPr>
        <w:spacing w:after="80"/>
      </w:pPr>
    </w:p>
    <w:p>
      <w:pPr>
        <w:spacing w:after="80"/>
      </w:pPr>
    </w:p>
    <w:p>
      <w:pPr>
        <w:pStyle w:val="Heading3"/>
      </w:pPr>
      <w:r>
        <w:t xml:space="preserve">flag_for_review</w:t>
      </w:r>
    </w:p>
    <w:p>
      <w:pPr>
        <w:spacing w:after="120"/>
      </w:pPr>
      <w:r>
        <w:rPr>
          <w:rFonts w:ascii="Arial" w:cs="Arial" w:eastAsia="Arial" w:hAnsi="Arial"/>
          <w:color w:val="344054"/>
          <w:sz w:val="22"/>
          <w:szCs w:val="22"/>
        </w:rPr>
        <w:t xml:space="preserve">Escalates an ambiguous or unmappable column to the human mapper. Used when the agent cannot determine a mapping with sufficient confidence, when multiple equally valid mappings exist, or when the column appears to have no canonical equivalent. Creates a review task in the UI.</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source_column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column header name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reason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Detailed explanation of why human review is needed</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suggested_options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Array&lt;Option&gt;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Candidate mappings for the human to choose from (max 5)</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priority</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CRITICAL | HIGH | NORMAL | LOW (default: NORMAL)</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flag_id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UUID of the created review flag</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status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Always PENDING_HUMAN_REVIEW</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queue_position</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Position in the human review queue</w:t>
            </w:r>
          </w:p>
        </w:tc>
      </w:tr>
    </w:tbl>
    <w:p>
      <w:pPr>
        <w:spacing w:after="80"/>
      </w:pPr>
    </w:p>
    <w:p>
      <w:pPr>
        <w:spacing w:after="80"/>
      </w:pPr>
    </w:p>
    <w:p>
      <w:pPr>
        <w:pStyle w:val="Heading3"/>
      </w:pPr>
      <w:r>
        <w:t xml:space="preserve">apply_template</w:t>
      </w:r>
    </w:p>
    <w:p>
      <w:pPr>
        <w:spacing w:after="120"/>
      </w:pPr>
      <w:r>
        <w:rPr>
          <w:rFonts w:ascii="Arial" w:cs="Arial" w:eastAsia="Arial" w:hAnsi="Arial"/>
          <w:color w:val="344054"/>
          <w:sz w:val="22"/>
          <w:szCs w:val="22"/>
        </w:rPr>
        <w:t xml:space="preserve">Bulk-applies all mappings from a template to the current file, with optional overrides. Creates one mapping proposal per template entry. Mappings that exactly match the template are auto-approved (confidence 1.0). Overrides enter pending review.</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template_id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Template to apply</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overrides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Array&lt;Override&gt;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Column-specific overrides to template mappings</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skip_columns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columns to skip (not present in this file)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auto_approve_threshold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Confidence threshold for auto-approval (default: 0.95)</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applied_count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mappings successfully applied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skipped_count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mappings skipped (column not found in source)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override_count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overrides applied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auto_approved_count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mappings auto-approved above threshold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pending_review_count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Number of mappings requiring human review</w:t>
            </w:r>
          </w:p>
        </w:tc>
      </w:tr>
    </w:tbl>
    <w:p>
      <w:pPr>
        <w:spacing w:after="80"/>
      </w:pPr>
    </w:p>
    <w:p>
      <w:pPr>
        <w:spacing w:after="80"/>
      </w:pPr>
    </w:p>
    <w:p>
      <w:pPr>
        <w:pStyle w:val="Heading2"/>
      </w:pPr>
      <w:r>
        <w:t xml:space="preserve">2.4 Context Tools</w:t>
      </w:r>
    </w:p>
    <w:p>
      <w:pPr>
        <w:spacing w:after="120"/>
      </w:pPr>
      <w:r>
        <w:rPr>
          <w:rFonts w:ascii="Arial" w:cs="Arial" w:eastAsia="Arial" w:hAnsi="Arial"/>
          <w:color w:val="344054"/>
          <w:sz w:val="22"/>
          <w:szCs w:val="22"/>
        </w:rPr>
        <w:t xml:space="preserve">Context tools provide the agent with situational awareness of the current mapping session. These are lightweight, zero-side-effect calls that help the agent orient itself and make sequencing decisions.</w:t>
      </w:r>
    </w:p>
    <w:p>
      <w:pPr>
        <w:spacing w:after="80"/>
      </w:pPr>
    </w:p>
    <w:p>
      <w:pPr>
        <w:pStyle w:val="Heading3"/>
      </w:pPr>
      <w:r>
        <w:t xml:space="preserve">get_mapping_progress</w:t>
      </w:r>
    </w:p>
    <w:p>
      <w:pPr>
        <w:spacing w:after="120"/>
      </w:pPr>
      <w:r>
        <w:rPr>
          <w:rFonts w:ascii="Arial" w:cs="Arial" w:eastAsia="Arial" w:hAnsi="Arial"/>
          <w:color w:val="344054"/>
          <w:sz w:val="22"/>
          <w:szCs w:val="22"/>
        </w:rPr>
        <w:t xml:space="preserve">Returns the current session state: how many columns have been mapped, which remain, and what's flagged for review. Provides the agent with a progress overview to guide its next actions.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total_columns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Total source columns in the file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mapped_count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Columns with approved or pending mappings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unmapped_count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Columns not yet mapped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flagged_count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Columns flagged for human review</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auto_approved_count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Mappings auto-approved by confidence threshold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pending_review_count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Integer</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Mappings awaiting human approval</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unmapped_columns[]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Names of remaining unmapped columns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completion_pct</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Float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Overall mapping completion percentage</w:t>
            </w:r>
          </w:p>
        </w:tc>
      </w:tr>
    </w:tbl>
    <w:p>
      <w:pPr>
        <w:spacing w:after="80"/>
      </w:pPr>
    </w:p>
    <w:p>
      <w:pPr>
        <w:spacing w:after="80"/>
      </w:pPr>
    </w:p>
    <w:p>
      <w:pPr>
        <w:pStyle w:val="Heading3"/>
      </w:pPr>
      <w:r>
        <w:t xml:space="preserve">get_xref_lookup</w:t>
      </w:r>
    </w:p>
    <w:p>
      <w:pPr>
        <w:spacing w:after="120"/>
      </w:pPr>
      <w:r>
        <w:rPr>
          <w:rFonts w:ascii="Arial" w:cs="Arial" w:eastAsia="Arial" w:hAnsi="Arial"/>
          <w:color w:val="344054"/>
          <w:sz w:val="22"/>
          <w:szCs w:val="22"/>
        </w:rPr>
        <w:t xml:space="preserve">Queries the cross-reference tables (xrefAccount, xrefSecurity, xrefGLAccount) to resolve code mappings between incumbent and BNY systems. Essential for mapping columns that contain system-specific codes rather than raw values.</w:t>
      </w:r>
    </w:p>
    <w:p>
      <w:pPr>
        <w:spacing w:after="80"/>
      </w:pPr>
    </w:p>
    <w:p>
      <w:pPr>
        <w:spacing w:after="120"/>
      </w:pPr>
      <w:r>
        <w:rPr>
          <w:rFonts w:ascii="Arial" w:cs="Arial" w:eastAsia="Arial" w:hAnsi="Arial"/>
          <w:b/>
          <w:bCs/>
          <w:color w:val="344054"/>
          <w:sz w:val="22"/>
          <w:szCs w:val="22"/>
        </w:rPr>
        <w:t xml:space="preserve">Parameters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source_value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The incumbent system code to look up</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xref_type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Enum</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D92D20"/>
                <w:sz w:val="19"/>
                <w:szCs w:val="19"/>
              </w:rPr>
              <w:t xml:space="preserve">Yes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ACCOUNT | SECURITY | GL_ACCOUNT | TRANS_CODE | ASSET_TYPE</w:t>
            </w:r>
          </w:p>
        </w:tc>
      </w:tr>
      <w:tr>
        <w:tc>
          <w:tcPr>
            <w:tcW w:type="dxa" w:w="20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source_system</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475467"/>
                <w:sz w:val="19"/>
                <w:szCs w:val="19"/>
              </w:rPr>
              <w:t xml:space="preserve">No</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system identifier (e.g., 'STATE_STREET', 'NORTHERN_TRUST')</w:t>
            </w:r>
          </w:p>
        </w:tc>
      </w:tr>
    </w:tbl>
    <w:p>
      <w:pPr>
        <w:spacing w:after="80"/>
      </w:pPr>
    </w:p>
    <w:p>
      <w:pPr>
        <w:spacing w:after="120"/>
      </w:pPr>
      <w:r>
        <w:rPr>
          <w:rFonts w:ascii="Arial" w:cs="Arial" w:eastAsia="Arial" w:hAnsi="Arial"/>
          <w:b/>
          <w:bCs/>
          <w:color w:val="344054"/>
          <w:sz w:val="22"/>
          <w:szCs w:val="22"/>
        </w:rPr>
        <w:t xml:space="preserve">Returns</w:t>
      </w:r>
      <w:r>
        <w:rPr>
          <w:rFonts w:ascii="Arial" w:cs="Arial" w:eastAsia="Arial" w:hAnsi="Arial"/>
          <w:color w:val="34405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found</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Boolean</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Whether a cross-reference mapping exists</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source_value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The input value</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target_value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The mapped BNY canonical value (null if not found)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xref_table</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String</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Which xref table was queried</w:t>
            </w:r>
          </w:p>
        </w:tc>
      </w:tr>
      <w:tr>
        <w:tc>
          <w:tcPr>
            <w:tcW w:type="dxa" w:w="28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alternatives[]</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Array&lt;String&gt;</w:t>
            </w:r>
          </w:p>
        </w:tc>
        <w:tc>
          <w:tcPr>
            <w:tcW w:type="dxa" w:w="5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Fuzzy-matched alternatives if exact match not found</w:t>
            </w:r>
          </w:p>
        </w:tc>
      </w:tr>
    </w:tbl>
    <w:p>
      <w:pPr>
        <w:spacing w:after="80"/>
      </w:pPr>
    </w:p>
    <w:p>
      <w:pPr>
        <w:spacing w:after="80"/>
      </w:pPr>
    </w:p>
    <w:p>
      <w:r>
        <w:br w:type="page"/>
      </w:r>
    </w:p>
    <w:p>
      <w:pPr>
        <w:pStyle w:val="Heading1"/>
      </w:pPr>
      <w:r>
        <w:t xml:space="preserve">3. Context Assembly Pipeline</w:t>
      </w:r>
    </w:p>
    <w:p>
      <w:pPr>
        <w:spacing w:after="120"/>
      </w:pPr>
      <w:r>
        <w:rPr>
          <w:rFonts w:ascii="Arial" w:cs="Arial" w:eastAsia="Arial" w:hAnsi="Arial"/>
          <w:color w:val="344054"/>
          <w:sz w:val="22"/>
          <w:szCs w:val="22"/>
        </w:rPr>
        <w:t xml:space="preserve">The context assembly pipeline governs how information is organized and delivered to the LLM at each step of the mapping process. Like coding agents that selectively load relevant source files, the mapping agent dynamically assembles focused context windows that include only the information needed for the current mapping decision.</w:t>
      </w:r>
    </w:p>
    <w:p>
      <w:pPr>
        <w:spacing w:after="80"/>
      </w:pPr>
    </w:p>
    <w:p>
      <w:pPr>
        <w:pStyle w:val="Heading2"/>
      </w:pPr>
      <w:r>
        <w:t xml:space="preserve">3.1 Context Tiers</w:t>
      </w:r>
    </w:p>
    <w:p>
      <w:pPr>
        <w:spacing w:after="120"/>
      </w:pPr>
      <w:r>
        <w:rPr>
          <w:rFonts w:ascii="Arial" w:cs="Arial" w:eastAsia="Arial" w:hAnsi="Arial"/>
          <w:color w:val="344054"/>
          <w:sz w:val="22"/>
          <w:szCs w:val="22"/>
        </w:rPr>
        <w:t xml:space="preserve">Context is organized into three concentric tiers, each with different lifecycle and token budget characteristics: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Budget</w:t>
            </w:r>
          </w:p>
        </w:tc>
        <w:tc>
          <w:tcPr>
            <w:tcW w:type="dxa" w:w="27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Lifecycle</w:t>
            </w:r>
          </w:p>
        </w:tc>
      </w:tr>
      <w:tr>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vAlign w:val="center"/>
          </w:tcPr>
          <w:p>
            <w:r>
              <w:rPr>
                <w:rFonts w:ascii="Arial" w:cs="Arial" w:eastAsia="Arial" w:hAnsi="Arial"/>
                <w:b/>
                <w:bCs/>
                <w:color w:val="344054"/>
                <w:sz w:val="19"/>
                <w:szCs w:val="19"/>
              </w:rPr>
              <w:t xml:space="preserve">Ring 1</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System prompt, tool definitions, session state, canonical table index</w:t>
            </w:r>
          </w:p>
        </w:tc>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~2,000 tokens (fixed)</w:t>
            </w:r>
          </w:p>
        </w:tc>
        <w:tc>
          <w:tcPr>
            <w:tcW w:type="dxa" w:w="2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Persistent across all LLM calls in session</w:t>
            </w:r>
          </w:p>
        </w:tc>
      </w:tr>
      <w:tr>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vAlign w:val="center"/>
          </w:tcPr>
          <w:p>
            <w:r>
              <w:rPr>
                <w:rFonts w:ascii="Arial" w:cs="Arial" w:eastAsia="Arial" w:hAnsi="Arial"/>
                <w:b/>
                <w:bCs/>
                <w:color w:val="344054"/>
                <w:sz w:val="19"/>
                <w:szCs w:val="19"/>
              </w:rPr>
              <w:t xml:space="preserve">Ring 2</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Retrieved canonical schemas, template mappings, validation rules</w:t>
            </w:r>
          </w:p>
        </w:tc>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~8,000–15,000 tokens (dynamic)</w:t>
            </w:r>
          </w:p>
        </w:tc>
        <w:tc>
          <w:tcPr>
            <w:tcW w:type="dxa" w:w="2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Refreshed per mapping decision via tool calls</w:t>
            </w:r>
          </w:p>
        </w:tc>
      </w:tr>
      <w:tr>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vAlign w:val="center"/>
          </w:tcPr>
          <w:p>
            <w:r>
              <w:rPr>
                <w:rFonts w:ascii="Arial" w:cs="Arial" w:eastAsia="Arial" w:hAnsi="Arial"/>
                <w:b/>
                <w:bCs/>
                <w:color w:val="344054"/>
                <w:sz w:val="19"/>
                <w:szCs w:val="19"/>
              </w:rPr>
              <w:t xml:space="preserve">Ring 3</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file column context, sample data, structural annotations</w:t>
            </w:r>
          </w:p>
        </w:tc>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~5,000–10,000 tokens (dynamic)</w:t>
            </w:r>
          </w:p>
        </w:tc>
        <w:tc>
          <w:tcPr>
            <w:tcW w:type="dxa" w:w="2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Scoped to current column group being mapped</w:t>
            </w:r>
          </w:p>
        </w:tc>
      </w:tr>
    </w:tbl>
    <w:p>
      <w:pPr>
        <w:spacing w:after="80"/>
      </w:pPr>
    </w:p>
    <w:p>
      <w:pPr>
        <w:pStyle w:val="Heading2"/>
      </w:pPr>
      <w:r>
        <w:t xml:space="preserve">3.2 Context Assembly Per Decision</w:t>
      </w:r>
    </w:p>
    <w:p>
      <w:pPr>
        <w:spacing w:after="120"/>
      </w:pPr>
      <w:r>
        <w:rPr>
          <w:rFonts w:ascii="Arial" w:cs="Arial" w:eastAsia="Arial" w:hAnsi="Arial"/>
          <w:color w:val="344054"/>
          <w:sz w:val="22"/>
          <w:szCs w:val="22"/>
        </w:rPr>
        <w:t xml:space="preserve">For each mapping decision, the pipeline assembles a focused prompt in the following priority order. If the total exceeds the token budget (default: 25K input tokens), lower-priority content is trimmed first.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400"/>
        <w:gridCol w:w="2560"/>
      </w:tblGrid>
      <w:tr>
        <w:tc>
          <w:tcPr>
            <w:tcW w:type="dxa" w:w="1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Block</w:t>
            </w:r>
          </w:p>
        </w:tc>
        <w:tc>
          <w:tcPr>
            <w:tcW w:type="dxa" w:w="3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Tokens</w:t>
            </w:r>
          </w:p>
        </w:tc>
      </w:tr>
      <w:tr>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P0</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Session State</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Event context, file ID, provider, mapping progress summary</w:t>
            </w:r>
          </w:p>
        </w:tc>
        <w:tc>
          <w:tcPr>
            <w:tcW w:type="dxa" w:w="2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200–400</w:t>
            </w:r>
          </w:p>
        </w:tc>
      </w:tr>
      <w:tr>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P1</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Source Column Context</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Current column(s) being mapped: header, dtype, 5 samples, neighboring columns</w:t>
            </w:r>
          </w:p>
        </w:tc>
        <w:tc>
          <w:tcPr>
            <w:tcW w:type="dxa" w:w="2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500–1,500</w:t>
            </w:r>
          </w:p>
        </w:tc>
      </w:tr>
      <w:tr>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P2</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Canonical Candidates</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Top 3–5 matching field definitions from search_canonical_model</w:t>
            </w:r>
          </w:p>
        </w:tc>
        <w:tc>
          <w:tcPr>
            <w:tcW w:type="dxa" w:w="2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2,000–5,000</w:t>
            </w:r>
          </w:p>
        </w:tc>
      </w:tr>
      <w:tr>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P3</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Template Context</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How this column was mapped in matching templates (if available)</w:t>
            </w:r>
          </w:p>
        </w:tc>
        <w:tc>
          <w:tcPr>
            <w:tcW w:type="dxa" w:w="2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1,000–3,000</w:t>
            </w:r>
          </w:p>
        </w:tc>
      </w:tr>
      <w:tr>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P4</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Validation Rules</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Relevant rules from data_validation.md for candidate target fields</w:t>
            </w:r>
          </w:p>
        </w:tc>
        <w:tc>
          <w:tcPr>
            <w:tcW w:type="dxa" w:w="2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500–2,000</w:t>
            </w:r>
          </w:p>
        </w:tc>
      </w:tr>
      <w:tr>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P5</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Recent Decisions</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Last 5–10 mapping decisions in this session for consistency</w:t>
            </w:r>
          </w:p>
        </w:tc>
        <w:tc>
          <w:tcPr>
            <w:tcW w:type="dxa" w:w="2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500–1,500</w:t>
            </w:r>
          </w:p>
        </w:tc>
      </w:tr>
    </w:tbl>
    <w:p>
      <w:pPr>
        <w:spacing w:after="80"/>
      </w:pPr>
    </w:p>
    <w:p>
      <w:pPr>
        <w:pStyle w:val="Heading2"/>
      </w:pPr>
      <w:r>
        <w:t xml:space="preserve">3.3 Two-Phase Agent Loop</w:t>
      </w:r>
    </w:p>
    <w:p>
      <w:pPr>
        <w:spacing w:after="120"/>
      </w:pPr>
      <w:r>
        <w:rPr>
          <w:rFonts w:ascii="Arial" w:cs="Arial" w:eastAsia="Arial" w:hAnsi="Arial"/>
          <w:color w:val="344054"/>
          <w:sz w:val="22"/>
          <w:szCs w:val="22"/>
        </w:rPr>
        <w:t xml:space="preserve">The agent operates in two distinct phases, each with different context profiles and tool usage patterns:</w:t>
      </w:r>
    </w:p>
    <w:p>
      <w:pPr>
        <w:spacing w:after="80"/>
      </w:pPr>
    </w:p>
    <w:p>
      <w:pPr>
        <w:pStyle w:val="Heading3"/>
      </w:pPr>
      <w:r>
        <w:t xml:space="preserve">Phase 1: Survey &amp; Plan (Read-Heavy)</w:t>
      </w:r>
    </w:p>
    <w:p>
      <w:pPr>
        <w:spacing w:after="120"/>
      </w:pPr>
      <w:r>
        <w:rPr>
          <w:rFonts w:ascii="Arial" w:cs="Arial" w:eastAsia="Arial" w:hAnsi="Arial"/>
          <w:color w:val="344054"/>
          <w:sz w:val="22"/>
          <w:szCs w:val="22"/>
        </w:rPr>
        <w:t xml:space="preserve">The agent inspects the full source file, identifies the incumbent provider and report type, searches for applicable templates, and generates a mapping plan. This phase is dominated by discovery tool calls and produces a structured plan that guides Phase 2.</w:t>
      </w:r>
    </w:p>
    <w:p>
      <w:pPr>
        <w:spacing w:after="80"/>
      </w:pPr>
    </w:p>
    <w:p>
      <w:pPr>
        <w:spacing w:after="120"/>
      </w:pPr>
      <w:r>
        <w:rPr>
          <w:rFonts w:ascii="Arial" w:cs="Arial" w:eastAsia="Arial" w:hAnsi="Arial"/>
          <w:b/>
          <w:bCs/>
          <w:color w:val="344054"/>
          <w:sz w:val="22"/>
          <w:szCs w:val="22"/>
        </w:rPr>
        <w:t xml:space="preserve">Typical tool sequence: </w:t>
      </w:r>
      <w:r>
        <w:rPr>
          <w:rFonts w:ascii="Arial" w:cs="Arial" w:eastAsia="Arial" w:hAnsi="Arial"/>
          <w:color w:val="344054"/>
          <w:sz w:val="22"/>
          <w:szCs w:val="22"/>
        </w:rPr>
        <w:t xml:space="preserve">inspect_source_file → search_templates → get_mapping_progress → [emit plan]</w:t>
      </w:r>
    </w:p>
    <w:p>
      <w:pPr>
        <w:spacing w:after="80"/>
      </w:pPr>
    </w:p>
    <w:p>
      <w:pPr>
        <w:spacing w:after="120"/>
      </w:pPr>
      <w:r>
        <w:rPr>
          <w:rFonts w:ascii="Arial" w:cs="Arial" w:eastAsia="Arial" w:hAnsi="Arial"/>
          <w:b/>
          <w:bCs/>
          <w:color w:val="344054"/>
          <w:sz w:val="22"/>
          <w:szCs w:val="22"/>
        </w:rPr>
        <w:t xml:space="preserve">Context profile: </w:t>
      </w:r>
      <w:r>
        <w:rPr>
          <w:rFonts w:ascii="Arial" w:cs="Arial" w:eastAsia="Arial" w:hAnsi="Arial"/>
          <w:color w:val="344054"/>
          <w:sz w:val="22"/>
          <w:szCs w:val="22"/>
        </w:rPr>
        <w:t xml:space="preserve">Broad but shallow. The agent sees all column headers but not detailed samples. Template matches are loaded at summary level. The canonical table index (from Ring 1) is sufficient for initial table-level routing.</w:t>
      </w:r>
    </w:p>
    <w:p>
      <w:pPr>
        <w:spacing w:after="80"/>
      </w:pPr>
    </w:p>
    <w:p>
      <w:pPr>
        <w:pStyle w:val="Heading3"/>
      </w:pPr>
      <w:r>
        <w:t xml:space="preserve">Phase 2: Map &amp; Validate (Iterative)</w:t>
      </w:r>
    </w:p>
    <w:p>
      <w:pPr>
        <w:spacing w:after="120"/>
      </w:pPr>
      <w:r>
        <w:rPr>
          <w:rFonts w:ascii="Arial" w:cs="Arial" w:eastAsia="Arial" w:hAnsi="Arial"/>
          <w:color w:val="344054"/>
          <w:sz w:val="22"/>
          <w:szCs w:val="22"/>
        </w:rPr>
        <w:t xml:space="preserve">For each column (or column group), the agent enters a tight mapping loop: retrieve relevant canonical context, analyze column samples, propose mapping, validate, and record or escalate. Each iteration is a focused LLM call with column-specific context.</w:t>
      </w:r>
    </w:p>
    <w:p>
      <w:pPr>
        <w:spacing w:after="80"/>
      </w:pPr>
    </w:p>
    <w:p>
      <w:pPr>
        <w:spacing w:after="120"/>
      </w:pPr>
      <w:r>
        <w:rPr>
          <w:rFonts w:ascii="Arial" w:cs="Arial" w:eastAsia="Arial" w:hAnsi="Arial"/>
          <w:b/>
          <w:bCs/>
          <w:color w:val="344054"/>
          <w:sz w:val="22"/>
          <w:szCs w:val="22"/>
        </w:rPr>
        <w:t xml:space="preserve">Typical tool sequence per column: </w:t>
      </w:r>
      <w:r>
        <w:rPr>
          <w:rFonts w:ascii="Arial" w:cs="Arial" w:eastAsia="Arial" w:hAnsi="Arial"/>
          <w:color w:val="344054"/>
          <w:sz w:val="22"/>
          <w:szCs w:val="22"/>
        </w:rPr>
        <w:t xml:space="preserve">analyze_column_samples → search_canonical_model → validate_mapping → propose_mapping | flag_for_review</w:t>
      </w:r>
    </w:p>
    <w:p>
      <w:pPr>
        <w:spacing w:after="80"/>
      </w:pPr>
    </w:p>
    <w:p>
      <w:pPr>
        <w:spacing w:after="120"/>
      </w:pPr>
      <w:r>
        <w:rPr>
          <w:rFonts w:ascii="Arial" w:cs="Arial" w:eastAsia="Arial" w:hAnsi="Arial"/>
          <w:b/>
          <w:bCs/>
          <w:color w:val="344054"/>
          <w:sz w:val="22"/>
          <w:szCs w:val="22"/>
        </w:rPr>
        <w:t xml:space="preserve">Context profile: </w:t>
      </w:r>
      <w:r>
        <w:rPr>
          <w:rFonts w:ascii="Arial" w:cs="Arial" w:eastAsia="Arial" w:hAnsi="Arial"/>
          <w:color w:val="344054"/>
          <w:sz w:val="22"/>
          <w:szCs w:val="22"/>
        </w:rPr>
        <w:t xml:space="preserve">Narrow but deep. Full column detail with samples, top canonical field candidates with business rules, template precedent, and validation constraints. Recent decisions provide consistency context.</w:t>
      </w:r>
    </w:p>
    <w:p>
      <w:pPr>
        <w:spacing w:after="80"/>
      </w:pPr>
    </w:p>
    <w:p>
      <w:pPr>
        <w:pStyle w:val="Heading2"/>
      </w:pPr>
      <w:r>
        <w:t xml:space="preserve">3.4 Token Budget Management</w:t>
      </w:r>
    </w:p>
    <w:p>
      <w:pPr>
        <w:spacing w:after="120"/>
      </w:pPr>
      <w:r>
        <w:rPr>
          <w:rFonts w:ascii="Arial" w:cs="Arial" w:eastAsia="Arial" w:hAnsi="Arial"/>
          <w:color w:val="344054"/>
          <w:sz w:val="22"/>
          <w:szCs w:val="22"/>
        </w:rPr>
        <w:t xml:space="preserve">The context assembler enforces a per-call token budget (configurable, default 25K input tokens) using the following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3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9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Applied</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Priority trimming</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Lower-priority content blocks are removed first (P5 before P4, etc.)</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Total exceeds budget after all blocks assembled</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Result truncation</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Reduce top_k on search results (e.g., 5 candidates → 3)</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P2 (canonical candidates) exceeds its sub-budget</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Sample reduction</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Reduce sample rows from 5 → 3 for source columns</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P1 (source context) exceeds its sub-budget</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Schema summarization</w:t>
            </w:r>
          </w:p>
        </w:tc>
        <w:tc>
          <w:tcPr>
            <w:tcW w:type="dxa" w:w="3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Replace full field definitions with field_name + data_type only</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Emergency: budget still exceeded after other strategies</w:t>
            </w:r>
          </w:p>
        </w:tc>
      </w:tr>
    </w:tbl>
    <w:p>
      <w:pPr>
        <w:spacing w:after="80"/>
      </w:pPr>
    </w:p>
    <w:p>
      <w:r>
        <w:br w:type="page"/>
      </w:r>
    </w:p>
    <w:p>
      <w:pPr>
        <w:pStyle w:val="Heading1"/>
      </w:pPr>
      <w:r>
        <w:t xml:space="preserve">4. Context Assembly Sequence Diagram</w:t>
      </w:r>
    </w:p>
    <w:p>
      <w:pPr>
        <w:spacing w:after="120"/>
      </w:pPr>
      <w:r>
        <w:rPr>
          <w:rFonts w:ascii="Arial" w:cs="Arial" w:eastAsia="Arial" w:hAnsi="Arial"/>
          <w:color w:val="344054"/>
          <w:sz w:val="22"/>
          <w:szCs w:val="22"/>
        </w:rPr>
        <w:t xml:space="preserve">The following sequence describes the complete flow from file upload through mapping completion. The diagram is provided as a companion Mermaid file (mapping-agent-sequence.mermaid) and React prototype, with the textual description below for reference.</w:t>
      </w:r>
    </w:p>
    <w:p>
      <w:pPr>
        <w:spacing w:after="80"/>
      </w:pPr>
    </w:p>
    <w:p>
      <w:pPr>
        <w:pStyle w:val="Heading2"/>
      </w:pPr>
      <w:r>
        <w:t xml:space="preserve">4.1 File Upload &amp; Survey Phase</w:t>
      </w:r>
    </w:p>
    <w:p>
      <w:pPr>
        <w:pStyle w:val="ListParagraph"/>
        <w:numPr>
          <w:ilvl w:val="0"/>
          <w:numId w:val="2"/>
        </w:numPr>
        <w:spacing w:after="80"/>
      </w:pPr>
      <w:r>
        <w:rPr>
          <w:rFonts w:ascii="Arial" w:cs="Arial" w:eastAsia="Arial" w:hAnsi="Arial"/>
          <w:color w:val="344054"/>
          <w:sz w:val="22"/>
          <w:szCs w:val="22"/>
        </w:rPr>
        <w:t xml:space="preserve">User uploads incumbent file (PDF/Excel/CSV) via the Document Intelligence panel.</w:t>
      </w:r>
    </w:p>
    <w:p>
      <w:pPr>
        <w:pStyle w:val="ListParagraph"/>
        <w:numPr>
          <w:ilvl w:val="0"/>
          <w:numId w:val="2"/>
        </w:numPr>
        <w:spacing w:after="80"/>
      </w:pPr>
      <w:r>
        <w:rPr>
          <w:rFonts w:ascii="Arial" w:cs="Arial" w:eastAsia="Arial" w:hAnsi="Arial"/>
          <w:color w:val="344054"/>
          <w:sz w:val="22"/>
          <w:szCs w:val="22"/>
        </w:rPr>
        <w:t xml:space="preserve">Backend parses file structure, extracts headers and sample data, stores in session.</w:t>
      </w:r>
    </w:p>
    <w:p>
      <w:pPr>
        <w:pStyle w:val="ListParagraph"/>
        <w:numPr>
          <w:ilvl w:val="0"/>
          <w:numId w:val="2"/>
        </w:numPr>
        <w:spacing w:after="80"/>
      </w:pPr>
      <w:r>
        <w:rPr>
          <w:rFonts w:ascii="Arial" w:cs="Arial" w:eastAsia="Arial" w:hAnsi="Arial"/>
          <w:color w:val="344054"/>
          <w:sz w:val="22"/>
          <w:szCs w:val="22"/>
        </w:rPr>
        <w:t xml:space="preserve">Agent receives initial context (Ring 1 + file summary) and calls inspect_source_file.</w:t>
      </w:r>
    </w:p>
    <w:p>
      <w:pPr>
        <w:pStyle w:val="ListParagraph"/>
        <w:numPr>
          <w:ilvl w:val="0"/>
          <w:numId w:val="2"/>
        </w:numPr>
        <w:spacing w:after="80"/>
      </w:pPr>
      <w:r>
        <w:rPr>
          <w:rFonts w:ascii="Arial" w:cs="Arial" w:eastAsia="Arial" w:hAnsi="Arial"/>
          <w:color w:val="344054"/>
          <w:sz w:val="22"/>
          <w:szCs w:val="22"/>
        </w:rPr>
        <w:t xml:space="preserve">Agent identifies provider and report type, calls search_templates with detected metadata.</w:t>
      </w:r>
    </w:p>
    <w:p>
      <w:pPr>
        <w:pStyle w:val="ListParagraph"/>
        <w:numPr>
          <w:ilvl w:val="0"/>
          <w:numId w:val="2"/>
        </w:numPr>
        <w:spacing w:after="80"/>
      </w:pPr>
      <w:r>
        <w:rPr>
          <w:rFonts w:ascii="Arial" w:cs="Arial" w:eastAsia="Arial" w:hAnsi="Arial"/>
          <w:color w:val="344054"/>
          <w:sz w:val="22"/>
          <w:szCs w:val="22"/>
        </w:rPr>
        <w:t xml:space="preserve">Agent generates mapping plan: groups columns by target table, estimates confidence, identifies columns needing deep analysis.</w:t>
      </w:r>
    </w:p>
    <w:p>
      <w:pPr>
        <w:pStyle w:val="ListParagraph"/>
        <w:numPr>
          <w:ilvl w:val="0"/>
          <w:numId w:val="2"/>
        </w:numPr>
        <w:spacing w:after="80"/>
      </w:pPr>
      <w:r>
        <w:rPr>
          <w:rFonts w:ascii="Arial" w:cs="Arial" w:eastAsia="Arial" w:hAnsi="Arial"/>
          <w:color w:val="344054"/>
          <w:sz w:val="22"/>
          <w:szCs w:val="22"/>
        </w:rPr>
        <w:t xml:space="preserve">If high-confidence template found (&gt;= 0.90), agent calls apply_template for bulk mapping, then proceeds to validate deviations.</w:t>
      </w:r>
    </w:p>
    <w:p>
      <w:pPr>
        <w:spacing w:after="80"/>
      </w:pPr>
    </w:p>
    <w:p>
      <w:pPr>
        <w:pStyle w:val="Heading2"/>
      </w:pPr>
      <w:r>
        <w:t xml:space="preserve">4.2 Iterative Mapping Phase</w:t>
      </w:r>
    </w:p>
    <w:p>
      <w:pPr>
        <w:pStyle w:val="ListParagraph"/>
        <w:numPr>
          <w:ilvl w:val="0"/>
          <w:numId w:val="2"/>
        </w:numPr>
        <w:spacing w:after="80"/>
      </w:pPr>
      <w:r>
        <w:rPr>
          <w:rFonts w:ascii="Arial" w:cs="Arial" w:eastAsia="Arial" w:hAnsi="Arial"/>
          <w:color w:val="344054"/>
          <w:sz w:val="22"/>
          <w:szCs w:val="22"/>
        </w:rPr>
        <w:t xml:space="preserve">For each unmapped column, context assembler builds focused prompt (P0–P5 priority blocks).</w:t>
      </w:r>
    </w:p>
    <w:p>
      <w:pPr>
        <w:pStyle w:val="ListParagraph"/>
        <w:numPr>
          <w:ilvl w:val="0"/>
          <w:numId w:val="2"/>
        </w:numPr>
        <w:spacing w:after="80"/>
      </w:pPr>
      <w:r>
        <w:rPr>
          <w:rFonts w:ascii="Arial" w:cs="Arial" w:eastAsia="Arial" w:hAnsi="Arial"/>
          <w:color w:val="344054"/>
          <w:sz w:val="22"/>
          <w:szCs w:val="22"/>
        </w:rPr>
        <w:t xml:space="preserve">Agent calls analyze_column_samples to classify the data domain.</w:t>
      </w:r>
    </w:p>
    <w:p>
      <w:pPr>
        <w:pStyle w:val="ListParagraph"/>
        <w:numPr>
          <w:ilvl w:val="0"/>
          <w:numId w:val="2"/>
        </w:numPr>
        <w:spacing w:after="80"/>
      </w:pPr>
      <w:r>
        <w:rPr>
          <w:rFonts w:ascii="Arial" w:cs="Arial" w:eastAsia="Arial" w:hAnsi="Arial"/>
          <w:color w:val="344054"/>
          <w:sz w:val="22"/>
          <w:szCs w:val="22"/>
        </w:rPr>
        <w:t xml:space="preserve">Agent calls search_canonical_model with classification-informed query.</w:t>
      </w:r>
    </w:p>
    <w:p>
      <w:pPr>
        <w:pStyle w:val="ListParagraph"/>
        <w:numPr>
          <w:ilvl w:val="0"/>
          <w:numId w:val="2"/>
        </w:numPr>
        <w:spacing w:after="80"/>
      </w:pPr>
      <w:r>
        <w:rPr>
          <w:rFonts w:ascii="Arial" w:cs="Arial" w:eastAsia="Arial" w:hAnsi="Arial"/>
          <w:color w:val="344054"/>
          <w:sz w:val="22"/>
          <w:szCs w:val="22"/>
        </w:rPr>
        <w:t xml:space="preserve">Agent evaluates candidates. If transformation needed, generates CEL expression.</w:t>
      </w:r>
    </w:p>
    <w:p>
      <w:pPr>
        <w:pStyle w:val="ListParagraph"/>
        <w:numPr>
          <w:ilvl w:val="0"/>
          <w:numId w:val="2"/>
        </w:numPr>
        <w:spacing w:after="80"/>
      </w:pPr>
      <w:r>
        <w:rPr>
          <w:rFonts w:ascii="Arial" w:cs="Arial" w:eastAsia="Arial" w:hAnsi="Arial"/>
          <w:color w:val="344054"/>
          <w:sz w:val="22"/>
          <w:szCs w:val="22"/>
        </w:rPr>
        <w:t xml:space="preserve">Agent calls validate_mapping with sample data against chosen target.</w:t>
      </w:r>
    </w:p>
    <w:p>
      <w:pPr>
        <w:pStyle w:val="ListParagraph"/>
        <w:numPr>
          <w:ilvl w:val="0"/>
          <w:numId w:val="2"/>
        </w:numPr>
        <w:spacing w:after="80"/>
      </w:pPr>
      <w:r>
        <w:rPr>
          <w:rFonts w:ascii="Arial" w:cs="Arial" w:eastAsia="Arial" w:hAnsi="Arial"/>
          <w:color w:val="344054"/>
          <w:sz w:val="22"/>
          <w:szCs w:val="22"/>
        </w:rPr>
        <w:t xml:space="preserve">If validation passes with high confidence: propose_mapping (may auto-approve).</w:t>
      </w:r>
    </w:p>
    <w:p>
      <w:pPr>
        <w:pStyle w:val="ListParagraph"/>
        <w:numPr>
          <w:ilvl w:val="0"/>
          <w:numId w:val="2"/>
        </w:numPr>
        <w:spacing w:after="80"/>
      </w:pPr>
      <w:r>
        <w:rPr>
          <w:rFonts w:ascii="Arial" w:cs="Arial" w:eastAsia="Arial" w:hAnsi="Arial"/>
          <w:color w:val="344054"/>
          <w:sz w:val="22"/>
          <w:szCs w:val="22"/>
        </w:rPr>
        <w:t xml:space="preserve">If validation fails or low confidence: flag_for_review with suggested options.</w:t>
      </w:r>
    </w:p>
    <w:p>
      <w:pPr>
        <w:pStyle w:val="ListParagraph"/>
        <w:numPr>
          <w:ilvl w:val="0"/>
          <w:numId w:val="2"/>
        </w:numPr>
        <w:spacing w:after="80"/>
      </w:pPr>
      <w:r>
        <w:rPr>
          <w:rFonts w:ascii="Arial" w:cs="Arial" w:eastAsia="Arial" w:hAnsi="Arial"/>
          <w:color w:val="344054"/>
          <w:sz w:val="22"/>
          <w:szCs w:val="22"/>
        </w:rPr>
        <w:t xml:space="preserve">UI updates in real-time via WebSocket: mapping lines appear, progress bar advances.</w:t>
      </w:r>
    </w:p>
    <w:p>
      <w:pPr>
        <w:spacing w:after="80"/>
      </w:pPr>
    </w:p>
    <w:p>
      <w:pPr>
        <w:pStyle w:val="Heading2"/>
      </w:pPr>
      <w:r>
        <w:t xml:space="preserve">4.3 Human Review &amp; Finalization</w:t>
      </w:r>
    </w:p>
    <w:p>
      <w:pPr>
        <w:pStyle w:val="ListParagraph"/>
        <w:numPr>
          <w:ilvl w:val="0"/>
          <w:numId w:val="2"/>
        </w:numPr>
        <w:spacing w:after="80"/>
      </w:pPr>
      <w:r>
        <w:rPr>
          <w:rFonts w:ascii="Arial" w:cs="Arial" w:eastAsia="Arial" w:hAnsi="Arial"/>
          <w:color w:val="344054"/>
          <w:sz w:val="22"/>
          <w:szCs w:val="22"/>
        </w:rPr>
        <w:t xml:space="preserve">Human reviews pending mappings in the two-panel UI. Approves, modifies, or rejects each.</w:t>
      </w:r>
    </w:p>
    <w:p>
      <w:pPr>
        <w:pStyle w:val="ListParagraph"/>
        <w:numPr>
          <w:ilvl w:val="0"/>
          <w:numId w:val="2"/>
        </w:numPr>
        <w:spacing w:after="80"/>
      </w:pPr>
      <w:r>
        <w:rPr>
          <w:rFonts w:ascii="Arial" w:cs="Arial" w:eastAsia="Arial" w:hAnsi="Arial"/>
          <w:color w:val="344054"/>
          <w:sz w:val="22"/>
          <w:szCs w:val="22"/>
        </w:rPr>
        <w:t xml:space="preserve">Human reviews flagged columns. Selects from agent-suggested options or provides custom mapping.</w:t>
      </w:r>
    </w:p>
    <w:p>
      <w:pPr>
        <w:pStyle w:val="ListParagraph"/>
        <w:numPr>
          <w:ilvl w:val="0"/>
          <w:numId w:val="2"/>
        </w:numPr>
        <w:spacing w:after="80"/>
      </w:pPr>
      <w:r>
        <w:rPr>
          <w:rFonts w:ascii="Arial" w:cs="Arial" w:eastAsia="Arial" w:hAnsi="Arial"/>
          <w:color w:val="344054"/>
          <w:sz w:val="22"/>
          <w:szCs w:val="22"/>
        </w:rPr>
        <w:t xml:space="preserve">Modified/rejected mappings feed back to agent context for pattern learning.</w:t>
      </w:r>
    </w:p>
    <w:p>
      <w:pPr>
        <w:pStyle w:val="ListParagraph"/>
        <w:numPr>
          <w:ilvl w:val="0"/>
          <w:numId w:val="2"/>
        </w:numPr>
        <w:spacing w:after="80"/>
      </w:pPr>
      <w:r>
        <w:rPr>
          <w:rFonts w:ascii="Arial" w:cs="Arial" w:eastAsia="Arial" w:hAnsi="Arial"/>
          <w:color w:val="344054"/>
          <w:sz w:val="22"/>
          <w:szCs w:val="22"/>
        </w:rPr>
        <w:t xml:space="preserve">On completion, approved mapping set is saved as a new template (or updates existing template).</w:t>
      </w:r>
    </w:p>
    <w:p>
      <w:pPr>
        <w:pStyle w:val="ListParagraph"/>
        <w:numPr>
          <w:ilvl w:val="0"/>
          <w:numId w:val="2"/>
        </w:numPr>
        <w:spacing w:after="80"/>
      </w:pPr>
      <w:r>
        <w:rPr>
          <w:rFonts w:ascii="Arial" w:cs="Arial" w:eastAsia="Arial" w:hAnsi="Arial"/>
          <w:color w:val="344054"/>
          <w:sz w:val="22"/>
          <w:szCs w:val="22"/>
        </w:rPr>
        <w:t xml:space="preserve">Mapping configuration exports as ReconClare-compatible CEL rules for the matching engine.</w:t>
      </w:r>
    </w:p>
    <w:p>
      <w:pPr>
        <w:spacing w:after="80"/>
      </w:pPr>
    </w:p>
    <w:p>
      <w:r>
        <w:br w:type="page"/>
      </w:r>
    </w:p>
    <w:p>
      <w:pPr>
        <w:pStyle w:val="Heading1"/>
      </w:pPr>
      <w:r>
        <w:t xml:space="preserve">5. Integration with RECON-AI Platform</w:t>
      </w:r>
    </w:p>
    <w:p>
      <w:pPr>
        <w:pStyle w:val="Heading2"/>
      </w:pPr>
      <w:r>
        <w:t xml:space="preserve">5.1 Data Flow</w:t>
      </w:r>
    </w:p>
    <w:p>
      <w:pPr>
        <w:spacing w:after="120"/>
      </w:pPr>
      <w:r>
        <w:rPr>
          <w:rFonts w:ascii="Arial" w:cs="Arial" w:eastAsia="Arial" w:hAnsi="Arial"/>
          <w:color w:val="344054"/>
          <w:sz w:val="22"/>
          <w:szCs w:val="22"/>
        </w:rPr>
        <w:t xml:space="preserve">The mapping agent integrates into the broader RECON-AI platform at several points. Approved mappings feed directly into ReconClare as matching rule configurations. The canonical model definitions are sourced from the same schema registry used by the data ingestion pipeline. Template storage uses the same event-scoped data model (eventId, account, valuationDt) established in the Control Center specification.</w:t>
      </w:r>
    </w:p>
    <w:p>
      <w:pPr>
        <w:spacing w:after="80"/>
      </w:pPr>
    </w:p>
    <w:p>
      <w:pPr>
        <w:pStyle w:val="Heading2"/>
      </w:pPr>
      <w:r>
        <w:t xml:space="preserve">5.2 CEL Rule Generation</w:t>
      </w:r>
    </w:p>
    <w:p>
      <w:pPr>
        <w:spacing w:after="120"/>
      </w:pPr>
      <w:r>
        <w:rPr>
          <w:rFonts w:ascii="Arial" w:cs="Arial" w:eastAsia="Arial" w:hAnsi="Arial"/>
          <w:color w:val="344054"/>
          <w:sz w:val="22"/>
          <w:szCs w:val="22"/>
        </w:rPr>
        <w:t xml:space="preserve">For columns requiring transformation (not direct 1:1 mapping), the agent generates CEL expressions following the safety pattern established in the architecture specification. CEL provides a non-Turing-complete expression language that AI can safely generate and humans can review. Examples include currency conversion expressions, date format normalization, code remapping via xref lookups, and conditional field selection based on record type.</w:t>
      </w:r>
    </w:p>
    <w:p>
      <w:pPr>
        <w:spacing w:after="80"/>
      </w:pPr>
    </w:p>
    <w:p>
      <w:pPr>
        <w:pStyle w:val="Heading2"/>
      </w:pPr>
      <w:r>
        <w:t xml:space="preserve">5.3 Known Difference Integration</w:t>
      </w:r>
    </w:p>
    <w:p>
      <w:pPr>
        <w:spacing w:after="120"/>
      </w:pPr>
      <w:r>
        <w:rPr>
          <w:rFonts w:ascii="Arial" w:cs="Arial" w:eastAsia="Arial" w:hAnsi="Arial"/>
          <w:color w:val="344054"/>
          <w:sz w:val="22"/>
          <w:szCs w:val="22"/>
        </w:rPr>
        <w:t xml:space="preserve">The mapping agent is aware of the Known Differences taxonomy (KD1 through KD5 for methodology differences, SC1 through SC8 for processing differences). When the agent detects a mapping that will produce systematic variances (e.g., different day count conventions between incumbent and BNY), it can annotate the mapping with the appropriate known difference code, which flows through to the NAV Client Scorecard and adjusted RAG calculation.</w:t>
      </w:r>
    </w:p>
    <w:p>
      <w:pPr>
        <w:spacing w:after="80"/>
      </w:pPr>
    </w:p>
    <w:p>
      <w:pPr>
        <w:pStyle w:val="Heading1"/>
      </w:pPr>
      <w:r>
        <w:t xml:space="preserve">6. Appendix: Canonical Table Index</w:t>
      </w:r>
    </w:p>
    <w:p>
      <w:pPr>
        <w:spacing w:after="120"/>
      </w:pPr>
      <w:r>
        <w:rPr>
          <w:rFonts w:ascii="Arial" w:cs="Arial" w:eastAsia="Arial" w:hAnsi="Arial"/>
          <w:color w:val="344054"/>
          <w:sz w:val="22"/>
          <w:szCs w:val="22"/>
        </w:rPr>
        <w:t xml:space="preserve">The following table index is included in the agent's Ring 1 context (always present). It provides the agent with a lightweight directory of all canonical tables without loading full schemas.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Name</w:t>
            </w:r>
          </w:p>
        </w:tc>
        <w:tc>
          <w:tcPr>
            <w:tcW w:type="dxa" w:w="4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Count</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dataDailyTransactions</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Daily trade and corporate action activity</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25+</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dataSubLedgerPosition</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Position-level holdings with market values</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30+</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dataSubLedgerTrans</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Sub-ledger transaction detail (tax lots)</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20+</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dataNav</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Fund-level NAV and share class data</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15+</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dataLedger</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General ledger balances by GL account</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8+</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refSecurity</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Security master reference data</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20+</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refFund</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Fund and portfolio reference data</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10+</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refTransCode</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Transaction code reference lookup</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xrefAccount</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Account cross-reference mappings</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6+</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xrefSecurity</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Security identifier cross-references</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8+</w:t>
            </w:r>
          </w:p>
        </w:tc>
      </w:tr>
      <w:tr>
        <w:tc>
          <w:tcPr>
            <w:tcW w:type="dxa" w:w="3200"/>
            <w:tcBorders>
              <w:top w:val="single" w:color="D0D5DD" w:sz="1"/>
              <w:left w:val="single" w:color="D0D5DD" w:sz="1"/>
              <w:bottom w:val="single" w:color="D0D5DD" w:sz="1"/>
              <w:right w:val="single" w:color="D0D5DD" w:sz="1"/>
            </w:tcBorders>
            <w:shd w:fill="F8FAFC" w:val="clear"/>
            <w:tcMar>
              <w:top w:type="dxa" w:w="60"/>
              <w:left w:type="dxa" w:w="120"/>
              <w:bottom w:type="dxa" w:w="60"/>
              <w:right w:type="dxa" w:w="120"/>
            </w:tcMar>
            <w:vAlign w:val="center"/>
          </w:tcPr>
          <w:p>
            <w:r>
              <w:rPr>
                <w:rFonts w:ascii="Consolas" w:cs="Consolas" w:eastAsia="Consolas" w:hAnsi="Consolas"/>
                <w:color w:val="344054"/>
                <w:sz w:val="18"/>
                <w:szCs w:val="18"/>
              </w:rPr>
              <w:t xml:space="preserve">xrefGLAccount</w:t>
            </w:r>
          </w:p>
        </w:tc>
        <w:tc>
          <w:tcPr>
            <w:tcW w:type="dxa" w:w="4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GL account mapping between systems</w:t>
            </w:r>
          </w:p>
        </w:tc>
        <w:tc>
          <w:tcPr>
            <w:tcW w:type="dxa" w:w="2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r>
              <w:rPr>
                <w:rFonts w:ascii="Arial" w:cs="Arial" w:eastAsia="Arial" w:hAnsi="Arial"/>
                <w:color w:val="344054"/>
                <w:sz w:val="19"/>
                <w:szCs w:val="19"/>
              </w:rPr>
              <w:t xml:space="preserve">5+</w:t>
            </w:r>
          </w:p>
        </w:tc>
      </w:tr>
    </w:tbl>
    <w:p>
      <w:pPr>
        <w:spacing w:after="80"/>
      </w:pPr>
    </w:p>
    <w:p>
      <w:pPr>
        <w:spacing w:after="120"/>
      </w:pPr>
      <w:r>
        <w:rPr>
          <w:rFonts w:ascii="Arial" w:cs="Arial" w:eastAsia="Arial" w:hAnsi="Arial"/>
          <w:b/>
          <w:bCs/>
          <w:color w:val="475467"/>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tabs>
        <w:tab w:val="right" w:pos="9360"/>
      </w:tabs>
    </w:pPr>
    <w:r>
      <w:rPr>
        <w:rFonts w:ascii="Arial" w:cs="Arial" w:eastAsia="Arial" w:hAnsi="Arial"/>
        <w:color w:val="475467"/>
        <w:sz w:val="16"/>
        <w:szCs w:val="16"/>
      </w:rPr>
      <w:t xml:space="preserve">CONFIDENTIAL</w:t>
    </w:r>
    <w:r>
      <w:rPr>
        <w:rFonts w:ascii="Arial" w:cs="Arial" w:eastAsia="Arial" w:hAnsi="Arial"/>
        <w:color w:val="475467"/>
        <w:sz w:val="16"/>
        <w:szCs w:val="16"/>
      </w:rPr>
      <w:t xml:space="preserve">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6" w:space="1"/>
      </w:pBdr>
      <w:tabs>
        <w:tab w:val="right" w:pos="9360"/>
      </w:tabs>
    </w:pPr>
    <w:r>
      <w:rPr>
        <w:rFonts w:ascii="Arial" w:cs="Arial" w:eastAsia="Arial" w:hAnsi="Arial"/>
        <w:b/>
        <w:bCs/>
        <w:color w:val="1B365D"/>
        <w:sz w:val="18"/>
        <w:szCs w:val="18"/>
      </w:rPr>
      <w:t xml:space="preserve">RECON-AI Document Intelligence</w:t>
    </w:r>
    <w:r>
      <w:rPr>
        <w:rFonts w:ascii="Arial" w:cs="Arial" w:eastAsia="Arial" w:hAnsi="Arial"/>
        <w:color w:val="475467"/>
        <w:sz w:val="18"/>
        <w:szCs w:val="18"/>
      </w:rPr>
      <w:t xml:space="preserve">	Mapping Agent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65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7546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2026-03-09T17:19:35.059Z</dcterms:created>
  <dcterms:modified xsi:type="dcterms:W3CDTF">2026-03-09T17:19:35.094Z</dcterms:modified>
</cp:coreProperties>
</file>

<file path=docProps/custom.xml><?xml version="1.0" encoding="utf-8"?>
<Properties xmlns="http://schemas.openxmlformats.org/officeDocument/2006/custom-properties" xmlns:vt="http://schemas.openxmlformats.org/officeDocument/2006/docPropsVTypes"/>
</file>