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72"/>
          <w:szCs w:val="72"/>
        </w:rPr>
        <w:t xml:space="preserve">RECON-AI</w:t>
      </w:r>
    </w:p>
    <w:p>
      <w:pPr>
        <w:spacing w:after="400"/>
        <w:jc w:val="center"/>
      </w:pPr>
      <w:r>
        <w:rPr>
          <w:rFonts w:ascii="Arial" w:cs="Arial" w:eastAsia="Arial" w:hAnsi="Arial"/>
          <w:color w:val="2E75B6"/>
          <w:sz w:val="40"/>
          <w:szCs w:val="40"/>
        </w:rPr>
        <w:t xml:space="preserve">Break Resolution, Dashboarding &amp;</w:t>
      </w:r>
    </w:p>
    <w:p>
      <w:pPr>
        <w:spacing w:after="400"/>
        <w:jc w:val="center"/>
      </w:pPr>
      <w:r>
        <w:rPr>
          <w:rFonts w:ascii="Arial" w:cs="Arial" w:eastAsia="Arial" w:hAnsi="Arial"/>
          <w:color w:val="2E75B6"/>
          <w:sz w:val="40"/>
          <w:szCs w:val="40"/>
        </w:rPr>
        <w:t xml:space="preserve">Team Allocation Specification</w:t>
      </w:r>
    </w:p>
    <w:p>
      <w:pPr>
        <w:pBdr>
          <w:bottom w:val="single" w:color="2E75B6" w:sz="6" w:space="1"/>
        </w:pBdr>
        <w:spacing w:after="200"/>
        <w:jc w:val="center"/>
      </w:pPr>
    </w:p>
    <w:p>
      <w:pPr>
        <w:spacing w:after="100" w:before="400"/>
        <w:jc w:val="center"/>
      </w:pPr>
      <w:r>
        <w:rPr>
          <w:rFonts w:ascii="Arial" w:cs="Arial" w:eastAsia="Arial" w:hAnsi="Arial"/>
          <w:color w:val="333333"/>
          <w:sz w:val="24"/>
          <w:szCs w:val="24"/>
        </w:rPr>
        <w:t xml:space="preserve">Event-Driven Fund Conversion Reconciliation Platform</w:t>
      </w:r>
    </w:p>
    <w:p>
      <w:pPr>
        <w:spacing w:after="80"/>
      </w:pPr>
    </w:p>
    <w:p>
      <w:pPr>
        <w:jc w:val="center"/>
      </w:pPr>
      <w:r>
        <w:rPr>
          <w:rFonts w:ascii="Arial" w:cs="Arial" w:eastAsia="Arial" w:hAnsi="Arial"/>
          <w:color w:val="666666"/>
          <w:sz w:val="22"/>
          <w:szCs w:val="22"/>
        </w:rPr>
        <w:t xml:space="preserve">Version 2.0  |  February 2026  |  CONFIDENTIAL</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Domain</w:t>
            </w:r>
          </w:p>
        </w:tc>
        <w:tc>
          <w:tcPr>
            <w:tcW w:type="dxa" w:w="6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Administration - Conversion Reconciliation</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Platform</w:t>
            </w:r>
          </w:p>
        </w:tc>
        <w:tc>
          <w:tcPr>
            <w:tcW w:type="dxa" w:w="6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ReconClare Matching Engine + RECON-AI Control Center</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Audience</w:t>
            </w:r>
          </w:p>
        </w:tc>
        <w:tc>
          <w:tcPr>
            <w:tcW w:type="dxa" w:w="6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Accountants, Conversion Managers, Pricing, Trade Capture, NAV Ops</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Classification</w:t>
            </w:r>
          </w:p>
        </w:tc>
        <w:tc>
          <w:tcPr>
            <w:tcW w:type="dxa" w:w="6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Internal - Confidential</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333333"/>
          <w:sz w:val="22"/>
          <w:szCs w:val="22"/>
        </w:rPr>
        <w:t xml:space="preserve">This specification defines the comprehensive break resolution, dashboarding, and team allocation capabilities for the RECON-AI platform. It extends the existing Control Center UX Specification and Architecture Specification with detailed requirements derived from the ACE Fund Onboarding conversion requirements, covering the complete lifecycle from NAV-level variance detection through multi-level drilldown, break categorization, team assignment, reviewer roster management, and client-facing scorecard reporting.</w:t>
      </w:r>
    </w:p>
    <w:p>
      <w:pPr>
        <w:spacing w:after="80"/>
      </w:pPr>
    </w:p>
    <w:p>
      <w:pPr>
        <w:pStyle w:val="Heading2"/>
      </w:pPr>
      <w:r>
        <w:t xml:space="preserve">1.1 Scope</w:t>
      </w:r>
    </w:p>
    <w:p>
      <w:pPr>
        <w:spacing w:after="120"/>
      </w:pPr>
      <w:r>
        <w:rPr>
          <w:rFonts w:ascii="Arial" w:cs="Arial" w:eastAsia="Arial" w:hAnsi="Arial"/>
          <w:color w:val="333333"/>
          <w:sz w:val="22"/>
          <w:szCs w:val="22"/>
        </w:rPr>
        <w:t xml:space="preserve">This document covers the following functional areas that were identified from the detailed requirement images captured from the ACE Fund Onboarding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7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Reviewer Allocation</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Daily roster management mapping reviewers to fund accounts across the parallel period</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Break Categories</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Taxonomy for classifying differences: Known Difference, BNY to Resolve, Incumbent to Resolve, Under Investigation, Match</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Review Status</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Workflow states for tracking daily reconciliation progress: Not Started, In Progress, Complete</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Break Assignment</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Team-to-owner mapping for routing breaks to responsible BNY teams and individual owners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Known Differences</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Configurable table of methodology and processing differences with standard commentary</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NAV Fund Level</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Dashboard comparing BNY vs Incumbent at fund level with units, net assets, basis points, and RAG status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NAV Share Class</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Granular share class reconciliation with prior day NAV data and movement analysis</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NAV Client Scorecard</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Client-facing adjusted RAG view incorporating known differences to calculate adjusted variances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NAV RAG Status</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Day-over-day basis point tracking across the parallel period for trend analysis</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Trial Balance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Balance sheet and P&amp;L reconciliation with multi-level commentary and break categorization</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Positions Full Portfolio</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Security-level reconciliation covering shares, prices, market values, base/local cost, and gain/loss</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Positions Share Breaks</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Filtered view of position share mismatches with auto-assignment to BNY Trade Capture</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Positions Price Breaks</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Filtered view of pricing differences with auto-assignment to BNY Pricing team</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Positions Tax Lots</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Lot-level reconciliation for funds requiring tax lot accounting</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Income Dividends</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High-level and detailed dividend reconciliation with XD date, rate, and withholding analysis</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Income Fixed Income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Bond coupon reconciliation with coupon rate, frequency, and accrual comparison</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Derivatives Forwards</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FX forward reconciliation covering buy/sell currency, settlement, and unrealised G/L</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bCs/>
                <w:color w:val="333333"/>
                <w:sz w:val="20"/>
                <w:szCs w:val="20"/>
              </w:rPr>
              <w:t xml:space="preserve">Derivatives Futures</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Futures position reconciliation with contract size, maturity, price, and margin analysis</w:t>
            </w:r>
          </w:p>
        </w:tc>
      </w:tr>
    </w:tbl>
    <w:p>
      <w:r>
        <w:br w:type="page"/>
      </w:r>
    </w:p>
    <w:p>
      <w:pPr>
        <w:pStyle w:val="Heading1"/>
      </w:pPr>
      <w:r>
        <w:t xml:space="preserve">2. Reviewer Allocation &amp; Roster Management</w:t>
      </w:r>
    </w:p>
    <w:p>
      <w:pPr>
        <w:spacing w:after="120"/>
      </w:pPr>
      <w:r>
        <w:rPr>
          <w:rFonts w:ascii="Arial" w:cs="Arial" w:eastAsia="Arial" w:hAnsi="Arial"/>
          <w:color w:val="333333"/>
          <w:sz w:val="22"/>
          <w:szCs w:val="22"/>
        </w:rPr>
        <w:t xml:space="preserve">The Reviewer Allocation module provides the ability to maintain daily allocation of fund reviews. Allocations can change daily due to availability, annual leave, or workload balancing. This roster feeds directly into the dashboards and individual reconciliations for tracking and accountability purposes.</w:t>
      </w:r>
    </w:p>
    <w:p>
      <w:pPr>
        <w:spacing w:after="80"/>
      </w:pPr>
    </w:p>
    <w:p>
      <w:pPr>
        <w:pStyle w:val="Heading2"/>
      </w:pPr>
      <w:r>
        <w:t xml:space="preserve">2.1 Roster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5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6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allocationId</w:t>
            </w:r>
          </w:p>
        </w:tc>
        <w:tc>
          <w:tcPr>
            <w:tcW w:type="dxa" w:w="15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UUID</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identifier for the allocation record</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eventId</w:t>
            </w:r>
          </w:p>
        </w:tc>
        <w:tc>
          <w:tcPr>
            <w:tcW w:type="dxa" w:w="15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conversion event reference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bnyAccount</w:t>
            </w:r>
          </w:p>
        </w:tc>
        <w:tc>
          <w:tcPr>
            <w:tcW w:type="dxa" w:w="15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fund account number (e.g., AC0001)</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incumbentAccount</w:t>
            </w:r>
          </w:p>
        </w:tc>
        <w:tc>
          <w:tcPr>
            <w:tcW w:type="dxa" w:w="15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provider account code (e.g., INC1)</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accountName</w:t>
            </w:r>
          </w:p>
        </w:tc>
        <w:tc>
          <w:tcPr>
            <w:tcW w:type="dxa" w:w="15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Client-friendly account name (e.g., Client Account 1)</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valuationDate</w:t>
            </w:r>
          </w:p>
        </w:tc>
        <w:tc>
          <w:tcPr>
            <w:tcW w:type="dxa" w:w="15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The date for which this allocation applies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assignedReviewerId</w:t>
            </w:r>
          </w:p>
        </w:tc>
        <w:tc>
          <w:tcPr>
            <w:tcW w:type="dxa" w:w="15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User ID of the assigned reviewer</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assignedReviewerName</w:t>
            </w:r>
          </w:p>
        </w:tc>
        <w:tc>
          <w:tcPr>
            <w:tcW w:type="dxa" w:w="15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name of the assigned reviewer</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createdBy</w:t>
            </w:r>
          </w:p>
        </w:tc>
        <w:tc>
          <w:tcPr>
            <w:tcW w:type="dxa" w:w="15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User who created/modified the allocation</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updatedAt</w:t>
            </w:r>
          </w:p>
        </w:tc>
        <w:tc>
          <w:tcPr>
            <w:tcW w:type="dxa" w:w="15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DateTime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46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Timestamp of last modification</w:t>
            </w:r>
          </w:p>
        </w:tc>
      </w:tr>
    </w:tbl>
    <w:p>
      <w:pPr>
        <w:spacing w:after="80"/>
      </w:pPr>
    </w:p>
    <w:p>
      <w:pPr>
        <w:pStyle w:val="Heading2"/>
      </w:pPr>
      <w:r>
        <w:t xml:space="preserve">2.2 Roster Grid UX</w:t>
      </w:r>
    </w:p>
    <w:p>
      <w:pPr>
        <w:spacing w:after="120"/>
      </w:pPr>
      <w:r>
        <w:rPr>
          <w:rFonts w:ascii="Arial" w:cs="Arial" w:eastAsia="Arial" w:hAnsi="Arial"/>
          <w:color w:val="333333"/>
          <w:sz w:val="22"/>
          <w:szCs w:val="22"/>
        </w:rPr>
        <w:t xml:space="preserve">The Reviewer Allocation screen presents a matrix-style grid where rows represent fund accounts and columns represent dates across the parallel period. Each cell contains a user selector dropdown allowing managers to assign or reassign reviewers on a per-day, per-fund basis. The grid supports the following interactions:</w:t>
      </w:r>
    </w:p>
    <w:p>
      <w:pPr>
        <w:spacing w:after="80"/>
      </w:pPr>
    </w:p>
    <w:p>
      <w:pPr>
        <w:spacing w:after="120"/>
      </w:pPr>
      <w:r>
        <w:rPr>
          <w:rFonts w:ascii="Arial" w:cs="Arial" w:eastAsia="Arial" w:hAnsi="Arial"/>
          <w:b/>
          <w:bCs/>
          <w:color w:val="333333"/>
          <w:sz w:val="22"/>
          <w:szCs w:val="22"/>
        </w:rPr>
        <w:t xml:space="preserve">Matrix Layout: </w:t>
      </w:r>
      <w:r>
        <w:rPr>
          <w:rFonts w:ascii="Arial" w:cs="Arial" w:eastAsia="Arial" w:hAnsi="Arial"/>
          <w:color w:val="333333"/>
          <w:sz w:val="22"/>
          <w:szCs w:val="22"/>
        </w:rPr>
        <w:t xml:space="preserve">Rows are keyed by BNY Account + Incumbent Account + Account Name. Columns span the parallel period dates (e.g., 2/9/26 through 2/20/26 and beyond). Each cell contains the assigned reviewer username.</w:t>
      </w:r>
    </w:p>
    <w:p>
      <w:pPr>
        <w:spacing w:after="120"/>
      </w:pPr>
      <w:r>
        <w:rPr>
          <w:rFonts w:ascii="Arial" w:cs="Arial" w:eastAsia="Arial" w:hAnsi="Arial"/>
          <w:b/>
          <w:bCs/>
          <w:color w:val="333333"/>
          <w:sz w:val="22"/>
          <w:szCs w:val="22"/>
        </w:rPr>
        <w:t xml:space="preserve">Inline Editing: </w:t>
      </w:r>
      <w:r>
        <w:rPr>
          <w:rFonts w:ascii="Arial" w:cs="Arial" w:eastAsia="Arial" w:hAnsi="Arial"/>
          <w:color w:val="333333"/>
          <w:sz w:val="22"/>
          <w:szCs w:val="22"/>
        </w:rPr>
        <w:t xml:space="preserve">Clicking any cell opens a dropdown of available reviewers filtered by team and availability. Changes are saved immediately with optimistic UI updates and audit logging.</w:t>
      </w:r>
    </w:p>
    <w:p>
      <w:pPr>
        <w:spacing w:after="120"/>
      </w:pPr>
      <w:r>
        <w:rPr>
          <w:rFonts w:ascii="Arial" w:cs="Arial" w:eastAsia="Arial" w:hAnsi="Arial"/>
          <w:b/>
          <w:bCs/>
          <w:color w:val="333333"/>
          <w:sz w:val="22"/>
          <w:szCs w:val="22"/>
        </w:rPr>
        <w:t xml:space="preserve">Bulk Assignment: </w:t>
      </w:r>
      <w:r>
        <w:rPr>
          <w:rFonts w:ascii="Arial" w:cs="Arial" w:eastAsia="Arial" w:hAnsi="Arial"/>
          <w:color w:val="333333"/>
          <w:sz w:val="22"/>
          <w:szCs w:val="22"/>
        </w:rPr>
        <w:t xml:space="preserve">Selecting a row header allows bulk-assigning a reviewer to all dates for that fund. Selecting a column header allows bulk-assigning a reviewer to all funds for that date.</w:t>
      </w:r>
    </w:p>
    <w:p>
      <w:pPr>
        <w:spacing w:after="120"/>
      </w:pPr>
      <w:r>
        <w:rPr>
          <w:rFonts w:ascii="Arial" w:cs="Arial" w:eastAsia="Arial" w:hAnsi="Arial"/>
          <w:b/>
          <w:bCs/>
          <w:color w:val="333333"/>
          <w:sz w:val="22"/>
          <w:szCs w:val="22"/>
        </w:rPr>
        <w:t xml:space="preserve">Availability Overlay: </w:t>
      </w:r>
      <w:r>
        <w:rPr>
          <w:rFonts w:ascii="Arial" w:cs="Arial" w:eastAsia="Arial" w:hAnsi="Arial"/>
          <w:color w:val="333333"/>
          <w:sz w:val="22"/>
          <w:szCs w:val="22"/>
        </w:rPr>
        <w:t xml:space="preserve">Reviewers on leave or unavailable are visually dimmed in the dropdown. An availability calendar integration shows planned absences.</w:t>
      </w:r>
    </w:p>
    <w:p>
      <w:pPr>
        <w:spacing w:after="120"/>
      </w:pPr>
      <w:r>
        <w:rPr>
          <w:rFonts w:ascii="Arial" w:cs="Arial" w:eastAsia="Arial" w:hAnsi="Arial"/>
          <w:b/>
          <w:bCs/>
          <w:color w:val="333333"/>
          <w:sz w:val="22"/>
          <w:szCs w:val="22"/>
        </w:rPr>
        <w:t xml:space="preserve">Change Tracking: </w:t>
      </w:r>
      <w:r>
        <w:rPr>
          <w:rFonts w:ascii="Arial" w:cs="Arial" w:eastAsia="Arial" w:hAnsi="Arial"/>
          <w:color w:val="333333"/>
          <w:sz w:val="22"/>
          <w:szCs w:val="22"/>
        </w:rPr>
        <w:t xml:space="preserve">All allocation changes are audit-logged with previous value, new value, changed-by user, and timestamp.</w:t>
      </w:r>
    </w:p>
    <w:p>
      <w:pPr>
        <w:spacing w:after="80"/>
      </w:pPr>
    </w:p>
    <w:p>
      <w:pPr>
        <w:pStyle w:val="Heading2"/>
      </w:pPr>
      <w:r>
        <w:t xml:space="preserve">2.3 Roster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860"/>
      </w:tblGrid>
      <w:tr>
        <w:tc>
          <w:tcPr>
            <w:tcW w:type="dxa" w:w="13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8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3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GET</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/api/v1/events/{eventId}/allocations</w:t>
            </w:r>
          </w:p>
        </w:tc>
        <w:tc>
          <w:tcPr>
            <w:tcW w:type="dxa" w:w="48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Retrieve all reviewer allocations for an event, optionally filtered by date range</w:t>
            </w:r>
          </w:p>
        </w:tc>
      </w:tr>
      <w:tr>
        <w:tc>
          <w:tcPr>
            <w:tcW w:type="dxa" w:w="13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GET</w:t>
            </w:r>
          </w:p>
        </w:tc>
        <w:tc>
          <w:tcPr>
            <w:tcW w:type="dxa" w:w="3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/api/v1/events/{eventId}/allocations/{date}</w:t>
            </w:r>
          </w:p>
        </w:tc>
        <w:tc>
          <w:tcPr>
            <w:tcW w:type="dxa" w:w="48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Get allocations for a specific valuation date</w:t>
            </w:r>
          </w:p>
        </w:tc>
      </w:tr>
      <w:tr>
        <w:tc>
          <w:tcPr>
            <w:tcW w:type="dxa" w:w="13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PUT</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/api/v1/events/{eventId}/allocations</w:t>
            </w:r>
          </w:p>
        </w:tc>
        <w:tc>
          <w:tcPr>
            <w:tcW w:type="dxa" w:w="48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Bulk update allocations (array of allocationId + reviewerId pairs)</w:t>
            </w:r>
          </w:p>
        </w:tc>
      </w:tr>
      <w:tr>
        <w:tc>
          <w:tcPr>
            <w:tcW w:type="dxa" w:w="13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POST</w:t>
            </w:r>
          </w:p>
        </w:tc>
        <w:tc>
          <w:tcPr>
            <w:tcW w:type="dxa" w:w="3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/api/v1/events/{eventId}/allocations/copy</w:t>
            </w:r>
          </w:p>
        </w:tc>
        <w:tc>
          <w:tcPr>
            <w:tcW w:type="dxa" w:w="48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Copy allocations from one date to another (template reuse)</w:t>
            </w:r>
          </w:p>
        </w:tc>
      </w:tr>
      <w:tr>
        <w:tc>
          <w:tcPr>
            <w:tcW w:type="dxa" w:w="13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GET</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/api/v1/users/reviewers</w:t>
            </w:r>
          </w:p>
        </w:tc>
        <w:tc>
          <w:tcPr>
            <w:tcW w:type="dxa" w:w="48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List available reviewers with team and availability status</w:t>
            </w:r>
          </w:p>
        </w:tc>
      </w:tr>
      <w:tr>
        <w:tc>
          <w:tcPr>
            <w:tcW w:type="dxa" w:w="13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GET</w:t>
            </w:r>
          </w:p>
        </w:tc>
        <w:tc>
          <w:tcPr>
            <w:tcW w:type="dxa" w:w="3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/api/v1/events/{eventId}/allocations/audit</w:t>
            </w:r>
          </w:p>
        </w:tc>
        <w:tc>
          <w:tcPr>
            <w:tcW w:type="dxa" w:w="48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Retrieve allocation change history with full audit trail</w:t>
            </w:r>
          </w:p>
        </w:tc>
      </w:tr>
    </w:tbl>
    <w:p>
      <w:r>
        <w:br w:type="page"/>
      </w:r>
    </w:p>
    <w:p>
      <w:pPr>
        <w:pStyle w:val="Heading1"/>
      </w:pPr>
      <w:r>
        <w:t xml:space="preserve">3. Break Categorization Taxonomy</w:t>
      </w:r>
    </w:p>
    <w:p>
      <w:pPr>
        <w:spacing w:after="120"/>
      </w:pPr>
      <w:r>
        <w:rPr>
          <w:rFonts w:ascii="Arial" w:cs="Arial" w:eastAsia="Arial" w:hAnsi="Arial"/>
          <w:color w:val="333333"/>
          <w:sz w:val="22"/>
          <w:szCs w:val="22"/>
        </w:rPr>
        <w:t xml:space="preserve">Every difference identified during reconciliation must be assigned a Break Category. These categories feed into the Client Scorecard to calculate the adjusted Net Assets variance, which determines the adjusted RAG status used to score green days with the client.</w:t>
      </w:r>
    </w:p>
    <w:p>
      <w:pPr>
        <w:spacing w:after="80"/>
      </w:pPr>
    </w:p>
    <w:p>
      <w:pPr>
        <w:pStyle w:val="Heading2"/>
      </w:pPr>
      <w:r>
        <w:t xml:space="preserve">3.1 Break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Break Category</w:t>
            </w:r>
          </w:p>
        </w:tc>
        <w:tc>
          <w:tcPr>
            <w:tcW w:type="dxa" w:w="7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methodology difference or known system difference agreed with the client. These are expected and documented variances that do not require resolution.</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to Resolve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Difference is caused by an issue with BNY processing or data which BNY will resolve. Ownership sits with the relevant BNY operational team.</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to Resolve</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Difference is caused by an issue with Incumbent processing or data which the incumbent provider will resolve. Tracked for client communication.</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Under Investigation</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Difference is under investigation either internally at BNY or externally with the incumbent or client to identify who is driving the variance. Once investigation is complete, this category transitions to one of the other 3 actionable options.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Match</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 variance for the individual line item. This category is applied automatically by the system when values reconcile within tolerance.</w:t>
            </w:r>
          </w:p>
        </w:tc>
      </w:tr>
    </w:tbl>
    <w:p>
      <w:pPr>
        <w:spacing w:after="80"/>
      </w:pPr>
    </w:p>
    <w:p>
      <w:pPr>
        <w:pStyle w:val="Heading2"/>
      </w:pPr>
      <w:r>
        <w:t xml:space="preserve">3.2 Review Status Workflow</w:t>
      </w:r>
    </w:p>
    <w:p>
      <w:pPr>
        <w:spacing w:after="120"/>
      </w:pPr>
      <w:r>
        <w:rPr>
          <w:rFonts w:ascii="Arial" w:cs="Arial" w:eastAsia="Arial" w:hAnsi="Arial"/>
          <w:color w:val="333333"/>
          <w:sz w:val="22"/>
          <w:szCs w:val="22"/>
        </w:rPr>
        <w:t xml:space="preserve">Each fund reconciliation for each valuation date carries a Review Status that tracks daily progress. This status is displayed in the NAV Dashboard and allows management to monitor completion across the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Color</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Started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Gray</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 reviewer has begun analysis of this fund for the valuation date. Default state on new valuation dates.</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 Progress</w:t>
            </w:r>
          </w:p>
        </w:tc>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Amber</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 has opened the reconciliation and is actively investigating breaks or adding commentary.</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Complete</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Green</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breaks have been categorized, commentary added, and the reviewer has signed off on the reconciliation.</w:t>
            </w:r>
          </w:p>
        </w:tc>
      </w:tr>
    </w:tbl>
    <w:p>
      <w:pPr>
        <w:spacing w:after="80"/>
      </w:pPr>
    </w:p>
    <w:p>
      <w:pPr>
        <w:pStyle w:val="Heading2"/>
      </w:pPr>
      <w:r>
        <w:t xml:space="preserve">3.3 Break Team Assignment</w:t>
      </w:r>
    </w:p>
    <w:p>
      <w:pPr>
        <w:spacing w:after="120"/>
      </w:pPr>
      <w:r>
        <w:rPr>
          <w:rFonts w:ascii="Arial" w:cs="Arial" w:eastAsia="Arial" w:hAnsi="Arial"/>
          <w:color w:val="333333"/>
          <w:sz w:val="22"/>
          <w:szCs w:val="22"/>
        </w:rPr>
        <w:t xml:space="preserve">Breaks are assigned to both a responsible team and an individual owner for accountability. In individual reconciliations (Position, Income, etc.), breaks should be assignable to a team and an individual owner. Certain break types trigger automatic team assignment with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Break Team Assignment</w:t>
            </w:r>
          </w:p>
        </w:tc>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Break Owner</w:t>
            </w:r>
          </w:p>
        </w:tc>
        <w:tc>
          <w:tcPr>
            <w:tcW w:type="dxa" w:w="4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Auto-Assignment Rule</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 Conversions</w:t>
            </w:r>
          </w:p>
        </w:tc>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Conv User 1</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General conversion-related breaks requiring FA team investigation</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Trade Capture</w:t>
            </w:r>
          </w:p>
        </w:tc>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TC User 1</w:t>
            </w:r>
          </w:p>
        </w:tc>
        <w:tc>
          <w:tcPr>
            <w:tcW w:type="dxa" w:w="4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share breaks on Positions auto-populate to this team with notification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Pricing</w:t>
            </w:r>
          </w:p>
        </w:tc>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Pricing User 1</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price breaks on Positions auto-populate to this team with notification</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Corporate Actions</w:t>
            </w:r>
          </w:p>
        </w:tc>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 User 1</w:t>
            </w:r>
          </w:p>
        </w:tc>
        <w:tc>
          <w:tcPr>
            <w:tcW w:type="dxa" w:w="4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Corporate action event discrepancies (dividends, splits, mergers)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NAV Ops</w:t>
            </w:r>
          </w:p>
        </w:tc>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User 1</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calculation differences, reclaim processing, missing book entries</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w:t>
            </w:r>
          </w:p>
        </w:tc>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4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Differences attributed to incumbent data or processing issues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Match</w:t>
            </w:r>
          </w:p>
        </w:tc>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 assignment needed; automatically categorized when values reconcile</w:t>
            </w:r>
          </w:p>
        </w:tc>
      </w:tr>
    </w:tbl>
    <w:p>
      <w:r>
        <w:br w:type="page"/>
      </w:r>
    </w:p>
    <w:p>
      <w:pPr>
        <w:pStyle w:val="Heading1"/>
      </w:pPr>
      <w:r>
        <w:t xml:space="preserve">4. Known Differences &amp; Standard Commentary</w:t>
      </w:r>
    </w:p>
    <w:p>
      <w:pPr>
        <w:spacing w:after="120"/>
      </w:pPr>
      <w:r>
        <w:rPr>
          <w:rFonts w:ascii="Arial" w:cs="Arial" w:eastAsia="Arial" w:hAnsi="Arial"/>
          <w:color w:val="333333"/>
          <w:sz w:val="22"/>
          <w:szCs w:val="22"/>
        </w:rPr>
        <w:t xml:space="preserve">The Known Differences table provides a configurable library of documented methodology and processing differences. These entries serve two purposes: (1) they populate dedicated columns within the NAV Client Scorecard so known variances can be subtracted from the raw difference to produce an adjusted variance, and (2) they provide standard commentary templates that reviewers can apply to individual reconciliation line items for consistency.</w:t>
      </w:r>
    </w:p>
    <w:p>
      <w:pPr>
        <w:spacing w:after="80"/>
      </w:pPr>
    </w:p>
    <w:p>
      <w:pPr>
        <w:pStyle w:val="Heading2"/>
      </w:pPr>
      <w:r>
        <w:t xml:space="preserve">4.1 Known Difference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5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reference code (e.g., KD 1, SC 1, Custom)</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type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Methodology or Processing</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summary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Short description of the known difference (e.g., Spot FX, Forward FX)</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issueDescription</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Detailed explanation of the issue and its impact on reconciliation</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commentary template to be applied in reconciliations</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isActive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Boolean</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Whether this KD is currently applicable</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eventId</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If event-specific; null means global across all events</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createdAt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DateTime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When the KD was first documented</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updatedBy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Yes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user to modify the KD entry</w:t>
            </w:r>
          </w:p>
        </w:tc>
      </w:tr>
    </w:tbl>
    <w:p>
      <w:pPr>
        <w:spacing w:after="80"/>
      </w:pPr>
    </w:p>
    <w:p>
      <w:pPr>
        <w:pStyle w:val="Heading2"/>
      </w:pPr>
      <w:r>
        <w:t xml:space="preserve">4.2 Pre-Configured Known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700"/>
        <w:gridCol w:w="5160"/>
      </w:tblGrid>
      <w:tr>
        <w:tc>
          <w:tcPr>
            <w:tcW w:type="dxa" w:w="9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Ref</w:t>
            </w:r>
          </w:p>
        </w:tc>
        <w:tc>
          <w:tcPr>
            <w:tcW w:type="dxa" w:w="1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7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Summary</w:t>
            </w:r>
          </w:p>
        </w:tc>
        <w:tc>
          <w:tcPr>
            <w:tcW w:type="dxa" w:w="5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 Comment</w:t>
            </w:r>
          </w:p>
        </w:tc>
      </w:tr>
      <w:tr>
        <w:tc>
          <w:tcPr>
            <w:tcW w:type="dxa" w:w="9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1</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Methodology</w:t>
            </w:r>
          </w:p>
        </w:tc>
        <w:tc>
          <w:tcPr>
            <w:tcW w:type="dxa" w:w="17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Spot FX</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1 Net income variance due FX spot rate differences</w:t>
            </w:r>
          </w:p>
        </w:tc>
      </w:tr>
      <w:tr>
        <w:tc>
          <w:tcPr>
            <w:tcW w:type="dxa" w:w="9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2</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Methodology</w:t>
            </w:r>
          </w:p>
        </w:tc>
        <w:tc>
          <w:tcPr>
            <w:tcW w:type="dxa" w:w="17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Forward FX</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2 Forward FX rate differences</w:t>
            </w:r>
          </w:p>
        </w:tc>
      </w:tr>
      <w:tr>
        <w:tc>
          <w:tcPr>
            <w:tcW w:type="dxa" w:w="9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3</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Methodology</w:t>
            </w:r>
          </w:p>
        </w:tc>
        <w:tc>
          <w:tcPr>
            <w:tcW w:type="dxa" w:w="17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Futures Pricing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3 Futures Pricing Differences</w:t>
            </w:r>
          </w:p>
        </w:tc>
      </w:tr>
      <w:tr>
        <w:tc>
          <w:tcPr>
            <w:tcW w:type="dxa" w:w="9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4</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Methodology</w:t>
            </w:r>
          </w:p>
        </w:tc>
        <w:tc>
          <w:tcPr>
            <w:tcW w:type="dxa" w:w="17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Bond Pricing</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4 Bond Pricing matrix differences</w:t>
            </w:r>
          </w:p>
        </w:tc>
      </w:tr>
      <w:tr>
        <w:tc>
          <w:tcPr>
            <w:tcW w:type="dxa" w:w="9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5</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Methodology</w:t>
            </w:r>
          </w:p>
        </w:tc>
        <w:tc>
          <w:tcPr>
            <w:tcW w:type="dxa" w:w="17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Expenses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5 Expenses calculated on BNY NAV</w:t>
            </w:r>
          </w:p>
        </w:tc>
      </w:tr>
      <w:tr>
        <w:tc>
          <w:tcPr>
            <w:tcW w:type="dxa" w:w="9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SC 1-8</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Processing</w:t>
            </w:r>
          </w:p>
        </w:tc>
        <w:tc>
          <w:tcPr>
            <w:tcW w:type="dxa" w:w="17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(Configurable)</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commentary for known processing issues discovered during parallel</w:t>
            </w:r>
          </w:p>
        </w:tc>
      </w:tr>
      <w:tr>
        <w:tc>
          <w:tcPr>
            <w:tcW w:type="dxa" w:w="9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(Either)</w:t>
            </w:r>
          </w:p>
        </w:tc>
        <w:tc>
          <w:tcPr>
            <w:tcW w:type="dxa" w:w="17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(User-defined)</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Ad-hoc entries created during the conversion for new discoveries</w:t>
            </w:r>
          </w:p>
        </w:tc>
      </w:tr>
    </w:tbl>
    <w:p>
      <w:pPr>
        <w:spacing w:after="80"/>
      </w:pPr>
    </w:p>
    <w:p>
      <w:pPr>
        <w:spacing w:after="120"/>
      </w:pPr>
      <w:r>
        <w:rPr>
          <w:rFonts w:ascii="Arial" w:cs="Arial" w:eastAsia="Arial" w:hAnsi="Arial"/>
          <w:b/>
          <w:bCs/>
          <w:color w:val="333333"/>
          <w:sz w:val="22"/>
          <w:szCs w:val="22"/>
        </w:rPr>
        <w:t xml:space="preserve">Key Behaviors: </w:t>
      </w:r>
      <w:r>
        <w:rPr>
          <w:rFonts w:ascii="Arial" w:cs="Arial" w:eastAsia="Arial" w:hAnsi="Arial"/>
          <w:color w:val="333333"/>
          <w:sz w:val="22"/>
          <w:szCs w:val="22"/>
        </w:rPr>
        <w:t xml:space="preserve">Known Differences may be added between events and new ones may be added during the parallel. The table should be flexible, allowing new entries based on what is discovered in the known differences table. KD columns in the Client Scorecard are dynamically generated from active KD entries. The standard commentary from KD records can be referenced in individual reconciliation comments for consistency.</w:t>
      </w:r>
    </w:p>
    <w:p>
      <w:r>
        <w:br w:type="page"/>
      </w:r>
    </w:p>
    <w:p>
      <w:pPr>
        <w:pStyle w:val="Heading1"/>
      </w:pPr>
      <w:r>
        <w:t xml:space="preserve">5. NAV Reconciliation Dashboards</w:t>
      </w:r>
    </w:p>
    <w:p>
      <w:pPr>
        <w:spacing w:after="120"/>
      </w:pPr>
      <w:r>
        <w:rPr>
          <w:rFonts w:ascii="Arial" w:cs="Arial" w:eastAsia="Arial" w:hAnsi="Arial"/>
          <w:color w:val="333333"/>
          <w:sz w:val="22"/>
          <w:szCs w:val="22"/>
        </w:rPr>
        <w:t xml:space="preserve">The NAV reconciliation dashboards provide a hierarchical view of fund-level performance during the parallel period. They operate at three tiers: Fund Level (L0 summary), Share Class Level (L0 detail with share class decomposition), and Client Scorecard (adjusted view incorporating known differences).</w:t>
      </w:r>
    </w:p>
    <w:p>
      <w:pPr>
        <w:spacing w:after="80"/>
      </w:pPr>
    </w:p>
    <w:p>
      <w:pPr>
        <w:pStyle w:val="Heading2"/>
      </w:pPr>
      <w:r>
        <w:t xml:space="preserve">5.1 NAV Fund Level Dashboard</w:t>
      </w:r>
    </w:p>
    <w:p>
      <w:pPr>
        <w:spacing w:after="120"/>
      </w:pPr>
      <w:r>
        <w:rPr>
          <w:rFonts w:ascii="Arial" w:cs="Arial" w:eastAsia="Arial" w:hAnsi="Arial"/>
          <w:color w:val="333333"/>
          <w:sz w:val="22"/>
          <w:szCs w:val="22"/>
        </w:rPr>
        <w:t xml:space="preserve">The NAV Fund Level Dashboard is the primary landing view for daily reconciliation review. It presents one row per fund account for a selected valuation date, comparing BNY and Incumbent unit counts and net asset values.</w:t>
      </w:r>
    </w:p>
    <w:p>
      <w:pPr>
        <w:spacing w:after="80"/>
      </w:pPr>
    </w:p>
    <w:p>
      <w:pPr>
        <w:pStyle w:val="Heading3"/>
      </w:pPr>
      <w:r>
        <w:t xml:space="preserve">5.1.1 Fund Level Grid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&amp; Business Logic</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The NAV date being reconciled (selected from date picker)</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Account</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internal account number (e.g., AC0001)</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Account</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provider account code (e.g., INC1)</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Account Name</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Client-facing fund name (e.g., Client Account 1)</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Account Base Currency</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Base currency of the fund (USD, EUR, GBP)</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Units</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Total outstanding units per BNY system</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Units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Total outstanding units per incumbent system</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Units Difference</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Units minus Incumbent Units; 0.00 expected for a match</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Net Assets</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Total NAV per BNY system in base currency</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Net Assets</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Total NAV per incumbent system in base currency</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Assets Difference</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Net Assets minus Incumbent Net Assets; color-coded by materiality</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Basis Points Difference</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Assets Difference / Incumbent Net Assets * 10,000; primary tolerance metric</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RAG</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Red/Amber/Green status based on configurable basis point thresholds</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 reviewer from the Reviewer Allocation roster for this date/fund</w:t>
            </w:r>
          </w:p>
        </w:tc>
      </w:tr>
    </w:tbl>
    <w:p>
      <w:pPr>
        <w:spacing w:after="80"/>
      </w:pPr>
    </w:p>
    <w:p>
      <w:pPr>
        <w:pStyle w:val="Heading3"/>
      </w:pPr>
      <w:r>
        <w:t xml:space="preserve">5.1.2 RAG Threshold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c>
          <w:tcPr>
            <w:tcW w:type="dxa" w:w="15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RAG Status</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BP Range (Default)</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Cell Color</w:t>
            </w:r>
          </w:p>
        </w:tc>
        <w:tc>
          <w:tcPr>
            <w:tcW w:type="dxa" w:w="38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r>
      <w:tr>
        <w:tc>
          <w:tcPr>
            <w:tcW w:type="dxa" w:w="15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Green</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|BP| &lt;= 5.00</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#E2F0D9</w:t>
            </w:r>
          </w:p>
        </w:tc>
        <w:tc>
          <w:tcPr>
            <w:tcW w:type="dxa" w:w="38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 action required; reconciliation within tolerance</w:t>
            </w:r>
          </w:p>
        </w:tc>
      </w:tr>
      <w:tr>
        <w:tc>
          <w:tcPr>
            <w:tcW w:type="dxa" w:w="15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Amber</w:t>
            </w:r>
          </w:p>
        </w:tc>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5.00 &lt; |BP| &lt;= 50.00</w:t>
            </w:r>
          </w:p>
        </w:tc>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#FFF2CC</w:t>
            </w:r>
          </w:p>
        </w:tc>
        <w:tc>
          <w:tcPr>
            <w:tcW w:type="dxa" w:w="38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Investigation recommended; may require commentary</w:t>
            </w:r>
          </w:p>
        </w:tc>
      </w:tr>
      <w:tr>
        <w:tc>
          <w:tcPr>
            <w:tcW w:type="dxa" w:w="15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Red</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|BP| &gt; 50.00</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#FCE4EC</w:t>
            </w:r>
          </w:p>
        </w:tc>
        <w:tc>
          <w:tcPr>
            <w:tcW w:type="dxa" w:w="38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Immediate investigation required; break must be resolved or explained</w:t>
            </w:r>
          </w:p>
        </w:tc>
      </w:tr>
    </w:tbl>
    <w:p>
      <w:pPr>
        <w:spacing w:after="80"/>
      </w:pPr>
    </w:p>
    <w:p>
      <w:pPr>
        <w:pStyle w:val="Heading2"/>
      </w:pPr>
      <w:r>
        <w:t xml:space="preserve">5.2 NAV Share Class Dashboard</w:t>
      </w:r>
    </w:p>
    <w:p>
      <w:pPr>
        <w:spacing w:after="120"/>
      </w:pPr>
      <w:r>
        <w:rPr>
          <w:rFonts w:ascii="Arial" w:cs="Arial" w:eastAsia="Arial" w:hAnsi="Arial"/>
          <w:color w:val="333333"/>
          <w:sz w:val="22"/>
          <w:szCs w:val="22"/>
        </w:rPr>
        <w:t xml:space="preserve">The Share Class Dashboard provides a granular decomposition of NAV differences by individual share class within each fund. For share class NAV movement analysis, the reconciliation will need to look at prior day information to perform the calculation. This view compares BNY and Incumbent at the share class level, including per-share NAV calculations.</w:t>
      </w:r>
    </w:p>
    <w:p>
      <w:pPr>
        <w:spacing w:after="80"/>
      </w:pPr>
    </w:p>
    <w:p>
      <w:pPr>
        <w:pStyle w:val="Heading3"/>
      </w:pPr>
      <w:r>
        <w:t xml:space="preserve">5.2.1 Share Class Grid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Type</w:t>
            </w:r>
          </w:p>
        </w:tc>
        <w:tc>
          <w:tcPr>
            <w:tcW w:type="dxa" w:w="5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date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Account</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fund account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Account</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account code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Account Name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Client fund name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Account Base Currency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base currency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Share Class</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share class code (e.g., 1A, 2B, 3C)</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Share Class</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share class code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 Class Name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Descriptive share class name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 Class Currency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Currency of the share class (may differ from base)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Units</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Outstanding units per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Units</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Outstanding units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Units Difference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Unit count variance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Net Assets (Base Currency)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 class NAV in base currency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Net Assets (Base Currency)</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 class NAV in base currency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Assets Difference (Base Currency)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Variance in base currency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NAV Per Share (Base Currency)</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NAV / BNY Units in base currency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NAV Per Share (Base)</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NAV / Incumbent Units in base currency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Difference NAV Per Share (Base)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Per-share NAV variance in base currency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Net Assets (Local Currency)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in share class local currency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Net Assets (Local)</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in share class local currency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Assets Diff (Local Currency)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Variance in local currency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NAV Per Share (Local)</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Per-share NAV in local currency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NAV Per Share (Local)</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per-share NAV in local currency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 NAV Per Share (Local)</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Per-share variance in local currency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Share Class %</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 class allocation percentage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Share Movement</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Day-over-day unit movement (requires prior day data)</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Validation</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Cross-check validation status</w:t>
            </w:r>
          </w:p>
        </w:tc>
      </w:tr>
    </w:tbl>
    <w:p>
      <w:pPr>
        <w:spacing w:after="80"/>
      </w:pPr>
    </w:p>
    <w:p>
      <w:pPr>
        <w:spacing w:after="120"/>
      </w:pPr>
      <w:r>
        <w:rPr>
          <w:rFonts w:ascii="Arial" w:cs="Arial" w:eastAsia="Arial" w:hAnsi="Arial"/>
          <w:b/>
          <w:bCs/>
          <w:color w:val="333333"/>
          <w:sz w:val="22"/>
          <w:szCs w:val="22"/>
        </w:rPr>
        <w:t xml:space="preserve">Prior Day NAV Data: </w:t>
      </w:r>
      <w:r>
        <w:rPr>
          <w:rFonts w:ascii="Arial" w:cs="Arial" w:eastAsia="Arial" w:hAnsi="Arial"/>
          <w:color w:val="333333"/>
          <w:sz w:val="22"/>
          <w:szCs w:val="22"/>
        </w:rPr>
        <w:t xml:space="preserve">The Share Class view includes a subordinate Prior Day NAV Data section showing: Valuation Date, BNY Account, Incumbent Account, Account Name, Account Base Currency, BNY Share Class, Incumbent Share Class, Share Class Name, Share Class Currency, and BNY NAV Per Share (Base Currency). This is required to compute share class NAV movement between days.</w:t>
      </w:r>
    </w:p>
    <w:p>
      <w:r>
        <w:br w:type="page"/>
      </w:r>
    </w:p>
    <w:p>
      <w:pPr>
        <w:pStyle w:val="Heading2"/>
      </w:pPr>
      <w:r>
        <w:t xml:space="preserve">5.3 NAV Client Scorecard</w:t>
      </w:r>
    </w:p>
    <w:p>
      <w:pPr>
        <w:spacing w:after="120"/>
      </w:pPr>
      <w:r>
        <w:rPr>
          <w:rFonts w:ascii="Arial" w:cs="Arial" w:eastAsia="Arial" w:hAnsi="Arial"/>
          <w:color w:val="333333"/>
          <w:sz w:val="22"/>
          <w:szCs w:val="22"/>
        </w:rPr>
        <w:t xml:space="preserve">The Client Scorecard is the primary client-facing view of the reconciliation. It takes the raw NAV differences from the Fund Level dashboard and subtracts documented Known Differences to produce an Adjusted Net Assets Difference and Adjusted RAG status. The Adjusted RAG is what determines green days with the client. Balances in highlighted known difference columns should feed through from underlying reconciliations, but users should be able to manually override them.</w:t>
      </w:r>
    </w:p>
    <w:p>
      <w:pPr>
        <w:spacing w:after="80"/>
      </w:pPr>
    </w:p>
    <w:p>
      <w:pPr>
        <w:pStyle w:val="Heading3"/>
      </w:pPr>
      <w:r>
        <w:t xml:space="preserve">5.3.1 Client Scorecard Grid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 / BNY Account / Incumbent / Account Name /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Various</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fund identification columns (same as Fund Level)</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Units / Incumbent Units / Units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Unit reconciliation (same as Fund Level)</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Net Assets / Incumbent Net Assets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Raw NAV values (same as Fund Level)</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Assets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Raw BNY minus Incumbent difference</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Basis Points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Raw basis points difference</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RAG</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Raw RAG status based on unadjusted basis points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1: Net Income Variance due FX Spot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 attributable to KD 1 (FX spot rate methodology)</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2: Forward FX Rate Differences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 attributable to KD 2 (forward FX)</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3: Futures Pricing Differences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 attributable to KD 3 (futures pricing)</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4: Bond Pricing Matrix Differences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 attributable to KD 4 (bond pricing)</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5: Expenses Calculated on BNY NAV</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 attributable to KD 5 (expense calc)</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to Resolve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Total amount attributed to incumbent processing issues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Adjusted Net Assets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Raw Difference minus all KD amounts minus Incumbent-to-Resolve</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Adjusted Basis Points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Adjusted difference expressed in basis points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Adjusted RAG</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RAG status based on adjusted basis points; this is the client-reportable status</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Under Investigation</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 currently under investigation</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to Resolve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 BNY is responsible for resolving</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Other Differences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Residual unexplained differences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Unexplained Differences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Differences with no categorization yet</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Check</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Checkbox</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 sign-off checkbox</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 reviewer from roster</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 Status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Started / In Progress / Complete</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Text</w:t>
            </w:r>
          </w:p>
        </w:tc>
        <w:tc>
          <w:tcPr>
            <w:tcW w:type="dxa" w:w="5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Free-text commentary field for the reviewer</w:t>
            </w:r>
          </w:p>
        </w:tc>
      </w:tr>
    </w:tbl>
    <w:p>
      <w:pPr>
        <w:spacing w:after="80"/>
      </w:pPr>
    </w:p>
    <w:p>
      <w:pPr>
        <w:spacing w:after="120"/>
      </w:pPr>
      <w:r>
        <w:rPr>
          <w:rFonts w:ascii="Arial" w:cs="Arial" w:eastAsia="Arial" w:hAnsi="Arial"/>
          <w:b/>
          <w:bCs/>
          <w:color w:val="333333"/>
          <w:sz w:val="22"/>
          <w:szCs w:val="22"/>
        </w:rPr>
        <w:t xml:space="preserve">Adjusted RAG Calculation: </w:t>
      </w:r>
      <w:r>
        <w:rPr>
          <w:rFonts w:ascii="Arial" w:cs="Arial" w:eastAsia="Arial" w:hAnsi="Arial"/>
          <w:color w:val="333333"/>
          <w:sz w:val="22"/>
          <w:szCs w:val="22"/>
        </w:rPr>
        <w:t xml:space="preserve">Adjusted Net Assets Difference = Net Assets Difference - KD 1 - KD 2 - KD 3 - KD 4 - KD 5 - Incumbent to Resolve. The Adjusted RAG is what determines whether the client agrees the day counts as a green day. Comments from lower-level reconciliations (Trial Balance, Positions, Income) should flow upwards to summarize the differences for a particular fund.</w:t>
      </w:r>
    </w:p>
    <w:p>
      <w:pPr>
        <w:spacing w:after="80"/>
      </w:pPr>
    </w:p>
    <w:p>
      <w:pPr>
        <w:spacing w:after="120"/>
      </w:pPr>
      <w:r>
        <w:rPr>
          <w:rFonts w:ascii="Arial" w:cs="Arial" w:eastAsia="Arial" w:hAnsi="Arial"/>
          <w:b/>
          <w:bCs/>
          <w:color w:val="333333"/>
          <w:sz w:val="22"/>
          <w:szCs w:val="22"/>
        </w:rPr>
        <w:t xml:space="preserve">KD Column Flexibility: </w:t>
      </w:r>
      <w:r>
        <w:rPr>
          <w:rFonts w:ascii="Arial" w:cs="Arial" w:eastAsia="Arial" w:hAnsi="Arial"/>
          <w:color w:val="333333"/>
          <w:sz w:val="22"/>
          <w:szCs w:val="22"/>
        </w:rPr>
        <w:t xml:space="preserve">Known Differences differ between events and new ones may be added during the parallel, so KD columns should be dynamically generated based on the active entries in the Known Differences configuration table for the event.</w:t>
      </w:r>
    </w:p>
    <w:p>
      <w:r>
        <w:br w:type="page"/>
      </w:r>
    </w:p>
    <w:p>
      <w:pPr>
        <w:pStyle w:val="Heading2"/>
      </w:pPr>
      <w:r>
        <w:t xml:space="preserve">5.4 NAV RAG Status Tracker</w:t>
      </w:r>
    </w:p>
    <w:p>
      <w:pPr>
        <w:spacing w:after="120"/>
      </w:pPr>
      <w:r>
        <w:rPr>
          <w:rFonts w:ascii="Arial" w:cs="Arial" w:eastAsia="Arial" w:hAnsi="Arial"/>
          <w:color w:val="333333"/>
          <w:sz w:val="22"/>
          <w:szCs w:val="22"/>
        </w:rPr>
        <w:t xml:space="preserve">The NAV RAG Status view provides a day-on-day summary of the adjusted basis point difference during the parallel period in order to track green days. Each row represents a fund, and columns represent consecutive parallel dates. Cell values show the adjusted basis point difference, color-coded by RAG threshold. This is the primary management view for tracking conversion readiness over time.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6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PSP Fund ID</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Integer</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Portfolio Services Platform fund identifier</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Eagle Fund ID</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Eagle fund identifier (e.g., GUR0010)</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Name</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fund name</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Category</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Tranche and grouping classification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Base Currency</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base currency</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 Columns (e.g., 5 Feb, 6 Feb...)</w:t>
            </w:r>
          </w:p>
        </w:tc>
        <w:tc>
          <w:tcPr>
            <w:tcW w:type="dxa" w:w="16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Adjusted BP difference for that date; color-coded by RAG thresholds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w:t>
            </w:r>
          </w:p>
        </w:tc>
        <w:tc>
          <w:tcPr>
            <w:tcW w:type="dxa" w:w="16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Text</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Running commentary on trend and resolution progress</w:t>
            </w:r>
          </w:p>
        </w:tc>
      </w:tr>
    </w:tbl>
    <w:p>
      <w:pPr>
        <w:spacing w:after="80"/>
      </w:pPr>
    </w:p>
    <w:p>
      <w:pPr>
        <w:spacing w:after="120"/>
      </w:pPr>
      <w:r>
        <w:rPr>
          <w:rFonts w:ascii="Arial" w:cs="Arial" w:eastAsia="Arial" w:hAnsi="Arial"/>
          <w:b/>
          <w:bCs/>
          <w:color w:val="333333"/>
          <w:sz w:val="22"/>
          <w:szCs w:val="22"/>
        </w:rPr>
        <w:t xml:space="preserve">Visual Encoding: </w:t>
      </w:r>
      <w:r>
        <w:rPr>
          <w:rFonts w:ascii="Arial" w:cs="Arial" w:eastAsia="Arial" w:hAnsi="Arial"/>
          <w:color w:val="333333"/>
          <w:sz w:val="22"/>
          <w:szCs w:val="22"/>
        </w:rPr>
        <w:t xml:space="preserve">Cells are conditionally formatted with green/amber/red backgrounds matching the RAG thresholds. This allows conversion managers and client stakeholders to visually scan across dates and identify funds that are consistently green vs. those requiring attention. Trend lines or sparklines may be shown alongside for quick pattern recognition.</w:t>
      </w:r>
    </w:p>
    <w:p>
      <w:r>
        <w:br w:type="page"/>
      </w:r>
    </w:p>
    <w:p>
      <w:pPr>
        <w:pStyle w:val="Heading1"/>
      </w:pPr>
      <w:r>
        <w:t xml:space="preserve">6. Trial Balance Reconciliation</w:t>
      </w:r>
    </w:p>
    <w:p>
      <w:pPr>
        <w:spacing w:after="120"/>
      </w:pPr>
      <w:r>
        <w:rPr>
          <w:rFonts w:ascii="Arial" w:cs="Arial" w:eastAsia="Arial" w:hAnsi="Arial"/>
          <w:color w:val="333333"/>
          <w:sz w:val="22"/>
          <w:szCs w:val="22"/>
        </w:rPr>
        <w:t xml:space="preserve">The Trial Balance (TB) reconciliation provides a balance-sheet and P&amp;L level view of differences between BNY and the Incumbent. Comments from lower-level reconciliations should flow upwards to summarize the differences for a particular sub-classification in the TB rec. The TB view uses a sidebar summary showing the relationship between BNY Balance Sheet, BNY P&amp;L, and their Incumbent counterparts, with the difference highlighted.</w:t>
      </w:r>
    </w:p>
    <w:p>
      <w:pPr>
        <w:spacing w:after="80"/>
      </w:pPr>
    </w:p>
    <w:p>
      <w:pPr>
        <w:pStyle w:val="Heading2"/>
      </w:pPr>
      <w:r>
        <w:t xml:space="preserve">6.1 TB Grid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date being reconciled</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Account / Incumbent Account</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account identifiers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TB Category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Balance Sheet or P&amp;L</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TB Classification</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Assets, Liabilities, Capital, Expenses, Income, Realised, Unrealised</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TB Sub Classification</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Detailed category: Cash, Dividends Receivable, Fixed Interest Receivable, Foreign Exchange, Futures Variation Margin, Reclaims Receivable, Securities at Value, Accrued Expenses, Prior Undistributed G/L, Redemptions, Subscriptions, Expenses, Withholding, Dividends, Fixed Interest, Futures, Investments, Net Exchange G/L</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Balance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general ledger balance for this classification</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Balance</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general ledger balance</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Difference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minus Incumbent; color-coded by materiality</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Comments</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Text</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Multi-entry structured commentary; see Section 6.2</w:t>
            </w:r>
          </w:p>
        </w:tc>
      </w:tr>
    </w:tbl>
    <w:p>
      <w:pPr>
        <w:spacing w:after="80"/>
      </w:pPr>
    </w:p>
    <w:p>
      <w:pPr>
        <w:pStyle w:val="Heading2"/>
      </w:pPr>
      <w:r>
        <w:t xml:space="preserve">6.2 TB Commentary Structure</w:t>
      </w:r>
    </w:p>
    <w:p>
      <w:pPr>
        <w:spacing w:after="120"/>
      </w:pPr>
      <w:r>
        <w:rPr>
          <w:rFonts w:ascii="Arial" w:cs="Arial" w:eastAsia="Arial" w:hAnsi="Arial"/>
          <w:color w:val="333333"/>
          <w:sz w:val="22"/>
          <w:szCs w:val="22"/>
        </w:rPr>
        <w:t xml:space="preserve">The Comments column in the Trial Balance supports structured, multi-line commentary organized by Break Category. For each TB sub-classification, reviewers can add multiple comment entries, each tagged with a Break Category. This provides a complete narrative of the difference. The following example illustrates the commentary pattern for a Securities at Value line item:</w:t>
      </w:r>
    </w:p>
    <w:p>
      <w:pPr>
        <w:spacing w:after="80"/>
      </w:pPr>
    </w:p>
    <w:p>
      <w:pPr>
        <w:spacing w:after="120"/>
      </w:pPr>
      <w:r>
        <w:rPr>
          <w:rFonts w:ascii="Arial" w:cs="Arial" w:eastAsia="Arial" w:hAnsi="Arial"/>
          <w:b/>
          <w:bCs/>
          <w:color w:val="333333"/>
          <w:sz w:val="22"/>
          <w:szCs w:val="22"/>
        </w:rPr>
        <w:t xml:space="preserve">Example: Securities at Value (Difference: 1,201,400.00)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Break Category</w:t>
            </w:r>
          </w:p>
        </w:tc>
        <w:tc>
          <w:tcPr>
            <w:tcW w:type="dxa" w:w="71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Commentary</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1,449.32 KD 1 - net income variance due FX spot rate differences</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-4.94 KD 2 Forward FX rate differences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34,650 KD 3 Futures pricing differences</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-8,600 KD 4 Bond pricing matrix differences</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-200 KD 5 Expenses calculated on BNY NAV</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to Resolve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-12,154.70 coupon rate difference at incumbent added to query log</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to Resolve</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60,000 unrealised difference due to trade timing</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to Resolve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100,000 reclaim missing at BNY, flagged to NAV Ops to book in next valuation</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to Resolve</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600,000 Withholding difference due to incorrect tax tables, BNY apply 10% rate, flagged to BNY tax team to correct tax tables</w:t>
            </w:r>
          </w:p>
        </w:tc>
      </w:tr>
      <w:tr>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to Resolve</w:t>
            </w:r>
          </w:p>
        </w:tc>
        <w:tc>
          <w:tcPr>
            <w:tcW w:type="dxa" w:w="71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1,900,000 Trade timing difference offset in cash</w:t>
            </w:r>
          </w:p>
        </w:tc>
      </w:tr>
      <w:tr>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Under Investigation</w:t>
            </w:r>
          </w:p>
        </w:tc>
        <w:tc>
          <w:tcPr>
            <w:tcW w:type="dxa" w:w="71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-750,000 unrealised difference due to equity pricing under review by BNY pricing</w:t>
            </w:r>
          </w:p>
        </w:tc>
      </w:tr>
    </w:tbl>
    <w:p>
      <w:pPr>
        <w:spacing w:after="80"/>
      </w:pPr>
    </w:p>
    <w:p>
      <w:pPr>
        <w:spacing w:after="120"/>
      </w:pPr>
      <w:r>
        <w:rPr>
          <w:rFonts w:ascii="Arial" w:cs="Arial" w:eastAsia="Arial" w:hAnsi="Arial"/>
          <w:b/>
          <w:bCs/>
          <w:color w:val="333333"/>
          <w:sz w:val="22"/>
          <w:szCs w:val="22"/>
        </w:rPr>
        <w:t xml:space="preserve">Sidebar Summary: </w:t>
      </w:r>
      <w:r>
        <w:rPr>
          <w:rFonts w:ascii="Arial" w:cs="Arial" w:eastAsia="Arial" w:hAnsi="Arial"/>
          <w:color w:val="333333"/>
          <w:sz w:val="22"/>
          <w:szCs w:val="22"/>
        </w:rPr>
        <w:t xml:space="preserve">The TB view includes a sidebar panel showing: BNY Balance Sheet total vs. Incumbent Balance Sheet total and their difference, plus BNY P&amp;L total, and BNY (Balance Sheet - P&amp;L) vs. Incumbent (Balance Sheet - P&amp;L) with the difference. This cross-check validates that the balance sheet and income statement are internally consistent.</w:t>
      </w:r>
    </w:p>
    <w:p>
      <w:r>
        <w:br w:type="page"/>
      </w:r>
    </w:p>
    <w:p>
      <w:pPr>
        <w:pStyle w:val="Heading1"/>
      </w:pPr>
      <w:r>
        <w:t xml:space="preserve">7. Positions Reconciliation</w:t>
      </w:r>
    </w:p>
    <w:p>
      <w:pPr>
        <w:spacing w:after="120"/>
      </w:pPr>
      <w:r>
        <w:rPr>
          <w:rFonts w:ascii="Arial" w:cs="Arial" w:eastAsia="Arial" w:hAnsi="Arial"/>
          <w:color w:val="333333"/>
          <w:sz w:val="22"/>
          <w:szCs w:val="22"/>
        </w:rPr>
        <w:t xml:space="preserve">The Positions module provides four interconnected views for reconciling security-level holdings between BNY and the Incumbent. The Full Portfolio view is the primary reconciliation surface, while Share Breaks, Price Breaks, and Tax Lots provide filtered/specialized drilldowns. Each view can be accessed as a standalone reconciliation for all funds or as a drilldown from ledger variances for a particular fund.</w:t>
      </w:r>
    </w:p>
    <w:p>
      <w:pPr>
        <w:spacing w:after="80"/>
      </w:pPr>
    </w:p>
    <w:p>
      <w:pPr>
        <w:pStyle w:val="Heading2"/>
      </w:pPr>
      <w:r>
        <w:t xml:space="preserve">7.1 Full Portfolio Reconciliation</w:t>
      </w:r>
    </w:p>
    <w:p>
      <w:pPr>
        <w:spacing w:after="120"/>
      </w:pPr>
      <w:r>
        <w:rPr>
          <w:rFonts w:ascii="Arial" w:cs="Arial" w:eastAsia="Arial" w:hAnsi="Arial"/>
          <w:color w:val="333333"/>
          <w:sz w:val="22"/>
          <w:szCs w:val="22"/>
        </w:rPr>
        <w:t xml:space="preserve">The Full Portfolio Reconciliation presents one row per security per fund, comparing shares, prices, market values, base cost, local cost, and gain/loss across BNY and Incumbent systems. Break Team Assignment, Break Owner, Break Category, and Comment columns are included for resolution tracking.</w:t>
      </w:r>
    </w:p>
    <w:p>
      <w:pPr>
        <w:spacing w:after="80"/>
      </w:pPr>
    </w:p>
    <w:p>
      <w:pPr>
        <w:pStyle w:val="Heading3"/>
      </w:pPr>
      <w:r>
        <w:t xml:space="preserve">7.1.1 Full Portfolio Grid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date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Account / Incumbent Account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identifiers</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Primary Asset ID</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 identifier (e.g., TEST001, BOND001)</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 Name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Descriptive security name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Asset Type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Equity, Fixed Income, Forward, Future, etc.</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Trading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Trading currency per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Trading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Trading currency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Shares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Share/unit count per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Shares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Share/unit count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Shares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minus Incumbent shares</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Price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 price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Price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 price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Price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Absolute price difference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Price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Percent</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Relative price difference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Base Cost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Cost basis in base currency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Base Cost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Cost basis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Base Cost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Cost basis variance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Market Value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Shares x Price in base currency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Market Value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Shares x Price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Base Market Value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variance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Unrealised Gain/Loss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minus Base Cost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Unrealised G/L</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minus Base Cost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Unrealised G/L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Unrealised gain/loss variance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Local Cost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Cost in local/trading currency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Local Cost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Cost in local currency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Local Cost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Local currency cost variance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Local Market Value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in local currency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Local Market Value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in local currency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Local Market Value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Local currency market value variance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 reviewer from roster</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Team Assignment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Responsible team (BNY Pricing, Trade Capture, etc.)</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Owner</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Individual owner within the team</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Category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 / BNY to Resolve / Incumbent / Under Investigation / Match</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Text</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Free-text explanation of the break and resolution actions</w:t>
            </w:r>
          </w:p>
        </w:tc>
      </w:tr>
    </w:tbl>
    <w:p>
      <w:r>
        <w:br w:type="page"/>
      </w:r>
    </w:p>
    <w:p>
      <w:pPr>
        <w:pStyle w:val="Heading2"/>
      </w:pPr>
      <w:r>
        <w:t xml:space="preserve">7.2 Share Breaks (Filtered View)</w:t>
      </w:r>
    </w:p>
    <w:p>
      <w:pPr>
        <w:spacing w:after="120"/>
      </w:pPr>
      <w:r>
        <w:rPr>
          <w:rFonts w:ascii="Arial" w:cs="Arial" w:eastAsia="Arial" w:hAnsi="Arial"/>
          <w:color w:val="333333"/>
          <w:sz w:val="22"/>
          <w:szCs w:val="22"/>
        </w:rPr>
        <w:t xml:space="preserve">The Share Breaks view should be viewable for all funds as a standalone reconciliation or as a drilldown from the Positions Full Portfolio reconciliation filtered for any positions where there is a share break. The Break Team Assignment should auto-populate as BNY Trade Capture and a notification sent to BNY Trade Capture team to review and add details on all share breaks. This view contains a match status column indicating: Match, BNY Only, Incumbent Only, or Matched with Differences.</w:t>
      </w:r>
    </w:p>
    <w:p>
      <w:pPr>
        <w:spacing w:after="80"/>
      </w:pPr>
    </w:p>
    <w:p>
      <w:pPr>
        <w:pStyle w:val="Heading2"/>
      </w:pPr>
      <w:r>
        <w:t xml:space="preserve">7.3 Price Breaks (Filtered View)</w:t>
      </w:r>
    </w:p>
    <w:p>
      <w:pPr>
        <w:spacing w:after="120"/>
      </w:pPr>
      <w:r>
        <w:rPr>
          <w:rFonts w:ascii="Arial" w:cs="Arial" w:eastAsia="Arial" w:hAnsi="Arial"/>
          <w:color w:val="333333"/>
          <w:sz w:val="22"/>
          <w:szCs w:val="22"/>
        </w:rPr>
        <w:t xml:space="preserve">The Price Breaks view filters positions where there is a price discrepancy between BNY and Incumbent. The Break Team Assignment should auto-populate as BNY Pricing and a notification sent to BNY Pricing Team to review and add details on all price breaks. This view includes additional columns for base market value difference, incumbent base market value, and local currency equivalents. Each price break carries Break Team Assignment, Break Owner, Break Category, and Comment fields for resolution tracking.</w:t>
      </w:r>
    </w:p>
    <w:p>
      <w:pPr>
        <w:spacing w:after="80"/>
      </w:pPr>
    </w:p>
    <w:p>
      <w:pPr>
        <w:spacing w:after="120"/>
      </w:pPr>
      <w:r>
        <w:rPr>
          <w:rFonts w:ascii="Arial" w:cs="Arial" w:eastAsia="Arial" w:hAnsi="Arial"/>
          <w:b/>
          <w:bCs/>
          <w:color w:val="333333"/>
          <w:sz w:val="22"/>
          <w:szCs w:val="22"/>
        </w:rPr>
        <w:t xml:space="preserve">Example Price Break: </w:t>
      </w:r>
      <w:r>
        <w:rPr>
          <w:rFonts w:ascii="Arial" w:cs="Arial" w:eastAsia="Arial" w:hAnsi="Arial"/>
          <w:color w:val="333333"/>
          <w:sz w:val="22"/>
          <w:szCs w:val="22"/>
        </w:rPr>
        <w:t xml:space="preserve">TEST Security 1 (Equity, USD) shows BNY Price 12.5 vs Incumbent Price 12 with a -4.17% price difference, resulting in a -750,000.00 base market value difference. Break Team: BNY Pricing, Break Owner: Pricing User 1, Category: Under Investigation, Comment: unrealised difference due to equity pricing under review by BNY pricing.</w:t>
      </w:r>
    </w:p>
    <w:p>
      <w:pPr>
        <w:spacing w:after="80"/>
      </w:pPr>
    </w:p>
    <w:p>
      <w:pPr>
        <w:spacing w:after="120"/>
      </w:pPr>
      <w:r>
        <w:rPr>
          <w:rFonts w:ascii="Arial" w:cs="Arial" w:eastAsia="Arial" w:hAnsi="Arial"/>
          <w:color w:val="333333"/>
          <w:sz w:val="22"/>
          <w:szCs w:val="22"/>
        </w:rPr>
        <w:t xml:space="preserve">Bond Security 1 (Fixed Income, USD) shows BNY Price 100.96 vs Incumbent Price 100.1 with a -0.86% price difference, resulting in a -8,600.00 base market value difference. Break Team: BNY Pricing, Break Owner: Pricing User 1, Category: Known Difference, Comment: KD 4 Bond Pricing matrix differences.</w:t>
      </w:r>
    </w:p>
    <w:p>
      <w:pPr>
        <w:spacing w:after="80"/>
      </w:pPr>
    </w:p>
    <w:p>
      <w:pPr>
        <w:pStyle w:val="Heading2"/>
      </w:pPr>
      <w:r>
        <w:t xml:space="preserve">7.4 Tax Lots Reconciliation</w:t>
      </w:r>
    </w:p>
    <w:p>
      <w:pPr>
        <w:spacing w:after="120"/>
      </w:pPr>
      <w:r>
        <w:rPr>
          <w:rFonts w:ascii="Arial" w:cs="Arial" w:eastAsia="Arial" w:hAnsi="Arial"/>
          <w:color w:val="333333"/>
          <w:sz w:val="22"/>
          <w:szCs w:val="22"/>
        </w:rPr>
        <w:t xml:space="preserve">For funds requiring tax lot accounting, the Tax Lots view provides lot-level reconciliation data. This drilldown shows individual acquisition lots for each security position, comparing cost basis, acquisition date, and per-lot gain/loss calculations between BNY and Incumbent systems.</w:t>
      </w:r>
    </w:p>
    <w:p>
      <w:r>
        <w:br w:type="page"/>
      </w:r>
    </w:p>
    <w:p>
      <w:pPr>
        <w:pStyle w:val="Heading1"/>
      </w:pPr>
      <w:r>
        <w:t xml:space="preserve">8. Income Reconciliation</w:t>
      </w:r>
    </w:p>
    <w:p>
      <w:pPr>
        <w:spacing w:after="120"/>
      </w:pPr>
      <w:r>
        <w:rPr>
          <w:rFonts w:ascii="Arial" w:cs="Arial" w:eastAsia="Arial" w:hAnsi="Arial"/>
          <w:color w:val="333333"/>
          <w:sz w:val="22"/>
          <w:szCs w:val="22"/>
        </w:rPr>
        <w:t xml:space="preserve">The Income reconciliation module covers three sub-asset-class reconciliation views: Dividends, Fixed Income (coupons), and related withholding/reclaim analysis. Each can be viewed for all funds as a standalone reconciliation or as a drilldown from ledger variances for a particular fund. Total Net Income and Total Reclaim differences should tie back to the Balance Sheet/Ledger variances for Unsettled/Accrued Dividend Income and Unsettled/Accrued Reclaim Differences.</w:t>
      </w:r>
    </w:p>
    <w:p>
      <w:pPr>
        <w:spacing w:after="80"/>
      </w:pPr>
    </w:p>
    <w:p>
      <w:pPr>
        <w:pStyle w:val="Heading2"/>
      </w:pPr>
      <w:r>
        <w:t xml:space="preserve">8.1 Dividends Reconciliation (High Level)</w:t>
      </w:r>
    </w:p>
    <w:p>
      <w:pPr>
        <w:spacing w:after="120"/>
      </w:pPr>
      <w:r>
        <w:rPr>
          <w:rFonts w:ascii="Arial" w:cs="Arial" w:eastAsia="Arial" w:hAnsi="Arial"/>
          <w:color w:val="333333"/>
          <w:sz w:val="22"/>
          <w:szCs w:val="22"/>
        </w:rPr>
        <w:t xml:space="preserve">The high-level view shows differences at the security level with the total differences tying back to ledger differences. Balances are an aggregate position of unsettled/accrued dividends/reclaims for a fund and specific security; there may be multiple unsettled/accrued dividends or reclaims that make up these positions.</w:t>
      </w:r>
    </w:p>
    <w:p>
      <w:pPr>
        <w:spacing w:after="80"/>
      </w:pPr>
    </w:p>
    <w:p>
      <w:pPr>
        <w:pStyle w:val="Heading3"/>
      </w:pPr>
      <w:r>
        <w:t xml:space="preserve">8.1.1 Dividends High Level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 / Match Status / BNY Account / Incumbent Account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Various</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identification fields</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Primary Asset ID / Security Name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 identifiers</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Income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Currency of income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Income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Currency of income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Net Income (Base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dividend income per BNY in base currency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Net Income (Base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dividend income per Incumbent in base currency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Income Difference (Base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Variance in net income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Gross Income (Base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Gross dividend income per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Gross Income (Base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Gross dividend income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Gross Income Difference (Base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Variance in gross income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Withholding (Base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Withholding tax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Withholding (Base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Withholding tax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Withholding Difference (Base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Withholding variance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Reclaim (Base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Tax reclaim amount per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Reclaim (Base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Tax reclaim amount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Reclaim Difference (Base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Reclaim variance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Local Currency Equivalents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above fields repeated in local currency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 / Break Team / Break Owner / Break Category / Comment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Various</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Resolution tracking fields</w:t>
            </w:r>
          </w:p>
        </w:tc>
      </w:tr>
    </w:tbl>
    <w:p>
      <w:pPr>
        <w:spacing w:after="80"/>
      </w:pPr>
    </w:p>
    <w:p>
      <w:pPr>
        <w:pStyle w:val="Heading2"/>
      </w:pPr>
      <w:r>
        <w:t xml:space="preserve">8.2 Dividends Reconciliation (Detailed Drilldown)</w:t>
      </w:r>
    </w:p>
    <w:p>
      <w:pPr>
        <w:spacing w:after="120"/>
      </w:pPr>
      <w:r>
        <w:rPr>
          <w:rFonts w:ascii="Arial" w:cs="Arial" w:eastAsia="Arial" w:hAnsi="Arial"/>
          <w:color w:val="333333"/>
          <w:sz w:val="22"/>
          <w:szCs w:val="22"/>
        </w:rPr>
        <w:t xml:space="preserve">The detailed drilldown provides two levels of decomposition. Drilldown should be available at either a security level or fund level. Drilldown 1 (Individual Security Level) shows each dividend event by XD date and pay date for a single security. Drilldown 2 (Fund Level) shows all dividend events across all securities for a fund, allowing cross-security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ID Fields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Various</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 Match Status, BNY/Incumbent Account, Primary Asset ID, Sedol, Cusip, ISIN</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 Name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Descriptive security name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Income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Income currency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Income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Income currency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XD Date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Ex-Dividend date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Pay Date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Payment/settlement date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Dividend Rate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Dividend rate per share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Dividend Rate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Dividend rate per share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Dividend Rate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Rate variance - key indicator for rate-driven income breaks</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XD Shares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Shares on record at XD date per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XD Shares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Shares on record at XD date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XD Shares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Shares variance at XD date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Income / Gross Income / Withholding / Reclaim (Base &amp; Local)</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income decomposition same as high level</w:t>
            </w:r>
          </w:p>
        </w:tc>
      </w:tr>
    </w:tbl>
    <w:p>
      <w:pPr>
        <w:spacing w:after="80"/>
      </w:pPr>
    </w:p>
    <w:p>
      <w:pPr>
        <w:pStyle w:val="Heading2"/>
      </w:pPr>
      <w:r>
        <w:t xml:space="preserve">8.3 Fixed Income Reconciliation</w:t>
      </w:r>
    </w:p>
    <w:p>
      <w:pPr>
        <w:spacing w:after="120"/>
      </w:pPr>
      <w:r>
        <w:rPr>
          <w:rFonts w:ascii="Arial" w:cs="Arial" w:eastAsia="Arial" w:hAnsi="Arial"/>
          <w:color w:val="333333"/>
          <w:sz w:val="22"/>
          <w:szCs w:val="22"/>
        </w:rPr>
        <w:t xml:space="preserve">The Fixed Income reconciliation covers bond coupon income. It follows the same high-level and detailed drilldown pattern as dividends. The high-level view aggregates net income, gross income, and withholding by security. The detailed drilldown adds coupon-specific fields.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 (Drilldown-Specific)</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Prior Coupon Date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Previous coupon payment date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Next Coupon Date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Next coupon payment date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Payment Frequency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Coupon payment frequency (e.g., Semi-Annual, Quarterly)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Coupon Rate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Coupon rate per BNY (e.g., 0.05 for 5%)</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Coupon Rate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Coupon rate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Coupon Rate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Variance in coupon rates; key indicator for coupon-driven income breaks</w:t>
            </w:r>
          </w:p>
        </w:tc>
      </w:tr>
    </w:tbl>
    <w:p>
      <w:r>
        <w:br w:type="page"/>
      </w:r>
    </w:p>
    <w:p>
      <w:pPr>
        <w:pStyle w:val="Heading1"/>
      </w:pPr>
      <w:r>
        <w:t xml:space="preserve">9. Derivatives Reconciliation</w:t>
      </w:r>
    </w:p>
    <w:p>
      <w:pPr>
        <w:spacing w:after="120"/>
      </w:pPr>
      <w:r>
        <w:rPr>
          <w:rFonts w:ascii="Arial" w:cs="Arial" w:eastAsia="Arial" w:hAnsi="Arial"/>
          <w:color w:val="333333"/>
          <w:sz w:val="22"/>
          <w:szCs w:val="22"/>
        </w:rPr>
        <w:t xml:space="preserve">The Derivatives reconciliation module covers two asset classes: Forwards (FX forwards) and Futures. Each can be viewed for all funds as a standalone reconciliation or as a drilldown from ledger variances for a particular fund.</w:t>
      </w:r>
    </w:p>
    <w:p>
      <w:pPr>
        <w:spacing w:after="80"/>
      </w:pPr>
    </w:p>
    <w:p>
      <w:pPr>
        <w:pStyle w:val="Heading2"/>
      </w:pPr>
      <w:r>
        <w:t xml:space="preserve">9.1 Forwards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 / Match Status / BNY Account / Incumbent Account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Various</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identification fields</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Buy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Currency being purchased in the forward contract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Sell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Currency being sold in the forward contract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Asset Type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Forward</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Trade Date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 the forward contract was executed</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Settlement Date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Maturity/settlement date of the forward</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Buy Amount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Notional amount being purchased</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Sell Amount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Notional amount being sold</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Unrealised Gain/Loss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Mark-to-market unrealised G/L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Unrealised Gain/Loss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Mark-to-market unrealised G/L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Unrealised G/L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Variance in unrealised G/L</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 reviewer</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Team Assignment</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Responsible team</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Owner</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Individual owner</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Category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classification</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Text</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Resolution commentary</w:t>
            </w:r>
          </w:p>
        </w:tc>
      </w:tr>
    </w:tbl>
    <w:p>
      <w:pPr>
        <w:spacing w:after="80"/>
      </w:pPr>
    </w:p>
    <w:p>
      <w:pPr>
        <w:spacing w:after="120"/>
      </w:pPr>
      <w:r>
        <w:rPr>
          <w:rFonts w:ascii="Arial" w:cs="Arial" w:eastAsia="Arial" w:hAnsi="Arial"/>
          <w:b/>
          <w:bCs/>
          <w:color w:val="333333"/>
          <w:sz w:val="22"/>
          <w:szCs w:val="22"/>
        </w:rPr>
        <w:t xml:space="preserve">Example: </w:t>
      </w:r>
      <w:r>
        <w:rPr>
          <w:rFonts w:ascii="Arial" w:cs="Arial" w:eastAsia="Arial" w:hAnsi="Arial"/>
          <w:color w:val="333333"/>
          <w:sz w:val="22"/>
          <w:szCs w:val="22"/>
        </w:rPr>
        <w:t xml:space="preserve">Forward contract EUR/USD with trade date 2/1/26, settlement 6/1/26, Buy Amount 23,500,000, Sell Amount -26,734,422.5, BNY Unrealised G/L 806,171.84, Incumbent Unrealised G/L 806,166.90, Difference -4.94. Break Team: FA Conversions, Owner: Conv User, Category: Known Difference, Comment: KD 2 Forward FX rate differences.</w:t>
      </w:r>
    </w:p>
    <w:p>
      <w:pPr>
        <w:spacing w:after="80"/>
      </w:pPr>
    </w:p>
    <w:p>
      <w:pPr>
        <w:pStyle w:val="Heading2"/>
      </w:pPr>
      <w:r>
        <w:t xml:space="preserve">9.2 Futures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ID Fields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Various</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 Date, Match Status, BNY Account, Incumbent Account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Primary Asset ID</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Futures contract identifier (e.g., FUT INDEX)</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 Name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Futures contract name (e.g., Future Security 1)</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Asset Type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Future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Trading Currency</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Trading currency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Trading Currency</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Trading currency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Contract Size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lot size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Contract Size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lot size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Maturity Date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maturity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Maturity Date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maturity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Contracts</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Number of contracts held per BNY</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Contracts</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Number of contracts per Incumbent</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Contracts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Variance in contract count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Price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Settlement/closing price per BNY</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Incumbent Price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Settlement/closing price per Incumbent</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Price Difference</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Absolute price variance</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Price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Percent</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Relative price variance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Base Cost / Incumbent Base Cost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Cost basis comparison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Base Cost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Cost basis variance</w:t>
            </w:r>
          </w:p>
        </w:tc>
      </w:tr>
      <w:tr>
        <w:tc>
          <w:tcPr>
            <w:tcW w:type="dxa" w:w="2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Base Market Value / Incumbent</w:t>
            </w:r>
          </w:p>
        </w:tc>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comparison</w:t>
            </w:r>
          </w:p>
        </w:tc>
      </w:tr>
      <w:tr>
        <w:tc>
          <w:tcPr>
            <w:tcW w:type="dxa" w:w="2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Difference</w:t>
            </w:r>
          </w:p>
        </w:tc>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value variance</w:t>
            </w:r>
          </w:p>
        </w:tc>
      </w:tr>
    </w:tbl>
    <w:p>
      <w:r>
        <w:br w:type="page"/>
      </w:r>
    </w:p>
    <w:p>
      <w:pPr>
        <w:pStyle w:val="Heading1"/>
      </w:pPr>
      <w:r>
        <w:t xml:space="preserve">10. Auto-Assignment &amp; Notification Engine</w:t>
      </w:r>
    </w:p>
    <w:p>
      <w:pPr>
        <w:spacing w:after="120"/>
      </w:pPr>
      <w:r>
        <w:rPr>
          <w:rFonts w:ascii="Arial" w:cs="Arial" w:eastAsia="Arial" w:hAnsi="Arial"/>
          <w:color w:val="333333"/>
          <w:sz w:val="22"/>
          <w:szCs w:val="22"/>
        </w:rPr>
        <w:t xml:space="preserve">The system implements intelligent auto-assignment rules that automatically populate Break Team Assignment based on the type and location of the break. When auto-assignment fires, a notification is sent to the assigned team and owner, alerting them to review and add details.</w:t>
      </w:r>
    </w:p>
    <w:p>
      <w:pPr>
        <w:spacing w:after="80"/>
      </w:pPr>
    </w:p>
    <w:p>
      <w:pPr>
        <w:pStyle w:val="Heading2"/>
      </w:pPr>
      <w:r>
        <w:t xml:space="preserve">10.1 Auto-Assignment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w:t>
            </w:r>
          </w:p>
        </w:tc>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Break Team</w:t>
            </w:r>
          </w:p>
        </w:tc>
        <w:tc>
          <w:tcPr>
            <w:tcW w:type="dxa" w:w="2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Owner</w:t>
            </w:r>
          </w:p>
        </w:tc>
        <w:tc>
          <w:tcPr>
            <w:tcW w:type="dxa" w:w="33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Notification</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 break detected on any position</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Trade Capture</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TC User (round-robin)</w:t>
            </w:r>
          </w:p>
        </w:tc>
        <w:tc>
          <w:tcPr>
            <w:tcW w:type="dxa" w:w="3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to BNY Trade Capture team to review and add details on all share breaks</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Price break detected on any position</w:t>
            </w:r>
          </w:p>
        </w:tc>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Pricing</w:t>
            </w:r>
          </w:p>
        </w:tc>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Pricing User (round-robin)</w:t>
            </w:r>
          </w:p>
        </w:tc>
        <w:tc>
          <w:tcPr>
            <w:tcW w:type="dxa" w:w="3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to BNY Pricing Team to review and add details on all price breaks</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Income withholding break</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NAV Ops</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User 1</w:t>
            </w:r>
          </w:p>
        </w:tc>
        <w:tc>
          <w:tcPr>
            <w:tcW w:type="dxa" w:w="3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to NAV Ops for withholding tax table review</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Reclaim missing at BNY</w:t>
            </w:r>
          </w:p>
        </w:tc>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NAV Ops</w:t>
            </w:r>
          </w:p>
        </w:tc>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User 1</w:t>
            </w:r>
          </w:p>
        </w:tc>
        <w:tc>
          <w:tcPr>
            <w:tcW w:type="dxa" w:w="3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flagged to NAV Ops to book in next valuation</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Corporate action mismatch</w:t>
            </w:r>
          </w:p>
        </w:tc>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Corporate Actions</w:t>
            </w:r>
          </w:p>
        </w:tc>
        <w:tc>
          <w:tcPr>
            <w:tcW w:type="dxa" w:w="2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 User 1</w:t>
            </w:r>
          </w:p>
        </w:tc>
        <w:tc>
          <w:tcPr>
            <w:tcW w:type="dxa" w:w="33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to Corporate Actions team</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values match within tolerance</w:t>
            </w:r>
          </w:p>
        </w:tc>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Match</w:t>
            </w:r>
          </w:p>
        </w:tc>
        <w:tc>
          <w:tcPr>
            <w:tcW w:type="dxa" w:w="2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3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 notification; auto-categorized as Match</w:t>
            </w:r>
          </w:p>
        </w:tc>
      </w:tr>
    </w:tbl>
    <w:p>
      <w:pPr>
        <w:spacing w:after="80"/>
      </w:pPr>
    </w:p>
    <w:p>
      <w:pPr>
        <w:pStyle w:val="Heading2"/>
      </w:pPr>
      <w:r>
        <w:t xml:space="preserve">10.2 Notification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notificationId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UUID</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notification identifier</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eventId</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conversion event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fundAccount</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Account where break was detected</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breakType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SHARE_BREAK, PRICE_BREAK, INCOME_BREAK, RECLAIM_BREAK, CORP_ACTION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securityId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Affected security identifier</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assignedTeam</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Auto-assigned team name</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assignedOwner</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Auto-assigned individual owner</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breakAmount</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Magnitude of the break for prioritization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valuationDate</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date where break was detected</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createdAt</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DateTime</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Timestamp of notification creation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isRead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Boolean</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Whether the recipient has acknowledged the notification</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channel</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IN_APP, EMAIL, BOTH</w:t>
            </w:r>
          </w:p>
        </w:tc>
      </w:tr>
    </w:tbl>
    <w:p>
      <w:r>
        <w:br w:type="page"/>
      </w:r>
    </w:p>
    <w:p>
      <w:pPr>
        <w:pStyle w:val="Heading1"/>
      </w:pPr>
      <w:r>
        <w:t xml:space="preserve">11. Commentary Flow &amp; Upward Rollup</w:t>
      </w:r>
    </w:p>
    <w:p>
      <w:pPr>
        <w:spacing w:after="120"/>
      </w:pPr>
      <w:r>
        <w:rPr>
          <w:rFonts w:ascii="Arial" w:cs="Arial" w:eastAsia="Arial" w:hAnsi="Arial"/>
          <w:color w:val="333333"/>
          <w:sz w:val="22"/>
          <w:szCs w:val="22"/>
        </w:rPr>
        <w:t xml:space="preserve">A critical design principle is that comments from lower-level reconciliations should flow upwards to summarize the differences for a particular fund at higher levels. This creates a coherent narrative that can be understood at any level of the hierarchy without requiring drilldown.</w:t>
      </w:r>
    </w:p>
    <w:p>
      <w:pPr>
        <w:spacing w:after="80"/>
      </w:pPr>
    </w:p>
    <w:p>
      <w:pPr>
        <w:pStyle w:val="Heading2"/>
      </w:pPr>
      <w:r>
        <w:t xml:space="preserve">11.1 Rollup Hierarchy</w:t>
      </w:r>
    </w:p>
    <w:p>
      <w:pPr>
        <w:spacing w:after="120"/>
      </w:pPr>
      <w:r>
        <w:rPr>
          <w:rFonts w:ascii="Arial" w:cs="Arial" w:eastAsia="Arial" w:hAnsi="Arial"/>
          <w:color w:val="333333"/>
          <w:sz w:val="22"/>
          <w:szCs w:val="22"/>
        </w:rPr>
        <w:t xml:space="preserve">Commentary follows the reconciliation hierarchy and aggregates from the most granular level upward:</w:t>
      </w:r>
    </w:p>
    <w:p>
      <w:pPr>
        <w:spacing w:after="80"/>
      </w:pPr>
    </w:p>
    <w:p>
      <w:pPr>
        <w:spacing w:after="120"/>
      </w:pPr>
      <w:r>
        <w:rPr>
          <w:rFonts w:ascii="Arial" w:cs="Arial" w:eastAsia="Arial" w:hAnsi="Arial"/>
          <w:b/>
          <w:bCs/>
          <w:color w:val="333333"/>
          <w:sz w:val="22"/>
          <w:szCs w:val="22"/>
        </w:rPr>
        <w:t xml:space="preserve">Level 4 (Transaction/Lot): </w:t>
      </w:r>
      <w:r>
        <w:rPr>
          <w:rFonts w:ascii="Arial" w:cs="Arial" w:eastAsia="Arial" w:hAnsi="Arial"/>
          <w:color w:val="333333"/>
          <w:sz w:val="22"/>
          <w:szCs w:val="22"/>
        </w:rPr>
        <w:t xml:space="preserve">Individual transaction or tax lot comments (e.g., "Trade timing difference, BNY booked T+1")</w:t>
      </w:r>
    </w:p>
    <w:p>
      <w:pPr>
        <w:spacing w:after="120"/>
      </w:pPr>
      <w:r>
        <w:rPr>
          <w:rFonts w:ascii="Arial" w:cs="Arial" w:eastAsia="Arial" w:hAnsi="Arial"/>
          <w:b/>
          <w:bCs/>
          <w:color w:val="333333"/>
          <w:sz w:val="22"/>
          <w:szCs w:val="22"/>
        </w:rPr>
        <w:t xml:space="preserve">Level 3 (Position/Income Event): </w:t>
      </w:r>
      <w:r>
        <w:rPr>
          <w:rFonts w:ascii="Arial" w:cs="Arial" w:eastAsia="Arial" w:hAnsi="Arial"/>
          <w:color w:val="333333"/>
          <w:sz w:val="22"/>
          <w:szCs w:val="22"/>
        </w:rPr>
        <w:t xml:space="preserve">Security-level commentary aggregating transaction breaks (e.g., "TEST001: 750,000 unrealised difference due to equity pricing under review")</w:t>
      </w:r>
    </w:p>
    <w:p>
      <w:pPr>
        <w:spacing w:after="120"/>
      </w:pPr>
      <w:r>
        <w:rPr>
          <w:rFonts w:ascii="Arial" w:cs="Arial" w:eastAsia="Arial" w:hAnsi="Arial"/>
          <w:b/>
          <w:bCs/>
          <w:color w:val="333333"/>
          <w:sz w:val="22"/>
          <w:szCs w:val="22"/>
        </w:rPr>
        <w:t xml:space="preserve">Level 2 (Trial Balance Sub-Classification): </w:t>
      </w:r>
      <w:r>
        <w:rPr>
          <w:rFonts w:ascii="Arial" w:cs="Arial" w:eastAsia="Arial" w:hAnsi="Arial"/>
          <w:color w:val="333333"/>
          <w:sz w:val="22"/>
          <w:szCs w:val="22"/>
        </w:rPr>
        <w:t xml:space="preserve">GL line commentary aggregating position-level breaks with break category tags</w:t>
      </w:r>
    </w:p>
    <w:p>
      <w:pPr>
        <w:spacing w:after="120"/>
      </w:pPr>
      <w:r>
        <w:rPr>
          <w:rFonts w:ascii="Arial" w:cs="Arial" w:eastAsia="Arial" w:hAnsi="Arial"/>
          <w:b/>
          <w:bCs/>
          <w:color w:val="333333"/>
          <w:sz w:val="22"/>
          <w:szCs w:val="22"/>
        </w:rPr>
        <w:t xml:space="preserve">Level 1 (Client Scorecard): </w:t>
      </w:r>
      <w:r>
        <w:rPr>
          <w:rFonts w:ascii="Arial" w:cs="Arial" w:eastAsia="Arial" w:hAnsi="Arial"/>
          <w:color w:val="333333"/>
          <w:sz w:val="22"/>
          <w:szCs w:val="22"/>
        </w:rPr>
        <w:t xml:space="preserve">Fund-level commentary summarizing all KD amounts, BNY/Incumbent to resolve amounts, and investigation items with total impact</w:t>
      </w:r>
    </w:p>
    <w:p>
      <w:pPr>
        <w:spacing w:after="80"/>
      </w:pPr>
    </w:p>
    <w:p>
      <w:pPr>
        <w:pStyle w:val="Heading2"/>
      </w:pPr>
      <w:r>
        <w:t xml:space="preserve">11.2 Commentary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1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5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commentId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UUID</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comment identifier</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parentCommentId</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UUID (nullable)</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For threaded replies to existing comments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reconciliationLevel</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L0_NAV, L1_GL, L2_POSITION, L3_TRANSACTION</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entityReference</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Reference to the entity (fund, GL account, security, transaction)</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breakCategory</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Enum</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The break category this comment relates to</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amount</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Decimal</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The monetary amount explained by this comment</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text</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Free-text commentary</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knownDifferenceRef</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 (nullable)</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Reference to KD entry if standard commentary was applied</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authorId</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String</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User who created the comment</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createdAt</w:t>
            </w:r>
          </w:p>
        </w:tc>
        <w:tc>
          <w:tcPr>
            <w:tcW w:type="dxa" w:w="1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DateTime</w:t>
            </w:r>
          </w:p>
        </w:tc>
        <w:tc>
          <w:tcPr>
            <w:tcW w:type="dxa" w:w="5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Timestamp</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isRolledUp</w:t>
            </w:r>
          </w:p>
        </w:tc>
        <w:tc>
          <w:tcPr>
            <w:tcW w:type="dxa" w:w="1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Boolean</w:t>
            </w:r>
          </w:p>
        </w:tc>
        <w:tc>
          <w:tcPr>
            <w:tcW w:type="dxa" w:w="5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Whether this comment has been included in a higher-level rollup</w:t>
            </w:r>
          </w:p>
        </w:tc>
      </w:tr>
    </w:tbl>
    <w:p>
      <w:r>
        <w:br w:type="page"/>
      </w:r>
    </w:p>
    <w:p>
      <w:pPr>
        <w:pStyle w:val="Heading1"/>
      </w:pPr>
      <w:r>
        <w:t xml:space="preserve">12. Cross-Cutting Technical Requirements</w:t>
      </w:r>
    </w:p>
    <w:p>
      <w:pPr>
        <w:spacing w:after="80"/>
      </w:pPr>
    </w:p>
    <w:p>
      <w:pPr>
        <w:pStyle w:val="Heading2"/>
      </w:pPr>
      <w:r>
        <w:t xml:space="preserve">12.1 Data Refresh &amp; Real-Time Updates</w:t>
      </w:r>
    </w:p>
    <w:p>
      <w:pPr>
        <w:spacing w:after="120"/>
      </w:pPr>
      <w:r>
        <w:rPr>
          <w:rFonts w:ascii="Arial" w:cs="Arial" w:eastAsia="Arial" w:hAnsi="Arial"/>
          <w:color w:val="333333"/>
          <w:sz w:val="22"/>
          <w:szCs w:val="22"/>
        </w:rPr>
        <w:t xml:space="preserve">All dashboard views should support near-real-time updates via WebSocket connections. When a reviewer adds commentary, changes a break category, or completes a review, all users viewing the same event should see the update within 200ms. The RAG Status Tracker should auto-refresh as adjusted differences are recalculated.</w:t>
      </w:r>
    </w:p>
    <w:p>
      <w:pPr>
        <w:spacing w:after="80"/>
      </w:pPr>
    </w:p>
    <w:p>
      <w:pPr>
        <w:pStyle w:val="Heading2"/>
      </w:pPr>
      <w:r>
        <w:t xml:space="preserve">12.2 Export Capabilities</w:t>
      </w:r>
    </w:p>
    <w:p>
      <w:pPr>
        <w:spacing w:after="120"/>
      </w:pPr>
      <w:r>
        <w:rPr>
          <w:rFonts w:ascii="Arial" w:cs="Arial" w:eastAsia="Arial" w:hAnsi="Arial"/>
          <w:color w:val="333333"/>
          <w:sz w:val="22"/>
          <w:szCs w:val="22"/>
        </w:rPr>
        <w:t xml:space="preserve">Every grid view must support export to Excel (.xlsx) maintaining all formatting, conditional coloring, and commentary. The Client Scorecard additionally supports export to PDF for client-facing reporting. Exports should include a metadata header with event name, valuation date, export timestamp, and exported-by user.</w:t>
      </w:r>
    </w:p>
    <w:p>
      <w:pPr>
        <w:spacing w:after="80"/>
      </w:pPr>
    </w:p>
    <w:p>
      <w:pPr>
        <w:pStyle w:val="Heading2"/>
      </w:pPr>
      <w:r>
        <w:t xml:space="preserve">12.3 Audit Trail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Auditable Action</w:t>
            </w:r>
          </w:p>
        </w:tc>
        <w:tc>
          <w:tcPr>
            <w:tcW w:type="dxa" w:w="7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Captured Fields</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 Allocation Change</w:t>
            </w:r>
          </w:p>
        </w:tc>
        <w:tc>
          <w:tcPr>
            <w:tcW w:type="dxa" w:w="7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Date, Previous Reviewer, New Reviewer, Changed By, Timestamp</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Category Assignment</w:t>
            </w:r>
          </w:p>
        </w:tc>
        <w:tc>
          <w:tcPr>
            <w:tcW w:type="dxa" w:w="7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Entity Reference, Previous Category, New Category, User, Timestamp</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Break Team Re-Assignment</w:t>
            </w:r>
          </w:p>
        </w:tc>
        <w:tc>
          <w:tcPr>
            <w:tcW w:type="dxa" w:w="7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Entity Reference, Previous Team/Owner, New Team/Owner, User, Timestamp</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 Status Change</w:t>
            </w:r>
          </w:p>
        </w:tc>
        <w:tc>
          <w:tcPr>
            <w:tcW w:type="dxa" w:w="7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Date, Previous Status, New Status, User, Timestamp</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Commentary Added/Edited</w:t>
            </w:r>
          </w:p>
        </w:tc>
        <w:tc>
          <w:tcPr>
            <w:tcW w:type="dxa" w:w="7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Entity Reference, Comment Text, Break Category, Amount, User, Timestamp</w:t>
            </w:r>
          </w:p>
        </w:tc>
      </w:tr>
      <w:tr>
        <w:tc>
          <w:tcPr>
            <w:tcW w:type="dxa" w:w="24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 Created/Modified</w:t>
            </w:r>
          </w:p>
        </w:tc>
        <w:tc>
          <w:tcPr>
            <w:tcW w:type="dxa" w:w="7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 Reference, Previous Values, New Values, User, Timestamp</w:t>
            </w:r>
          </w:p>
        </w:tc>
      </w:tr>
      <w:tr>
        <w:tc>
          <w:tcPr>
            <w:tcW w:type="dxa" w:w="24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Client Scorecard KD Override</w:t>
            </w:r>
          </w:p>
        </w:tc>
        <w:tc>
          <w:tcPr>
            <w:tcW w:type="dxa" w:w="7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Date, KD Column, System Value, Override Value, User, Timestamp</w:t>
            </w:r>
          </w:p>
        </w:tc>
      </w:tr>
    </w:tbl>
    <w:p>
      <w:pPr>
        <w:spacing w:after="80"/>
      </w:pPr>
    </w:p>
    <w:p>
      <w:pPr>
        <w:pStyle w:val="Heading2"/>
      </w:pPr>
      <w:r>
        <w:t xml:space="preserve">12.4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Permissions</w:t>
            </w:r>
          </w:p>
        </w:tc>
        <w:tc>
          <w:tcPr>
            <w:tcW w:type="dxa" w:w="5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Restricted Actions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Conversion Manager</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access to all views, roster management, sign-off authority</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None</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Accountant</w:t>
            </w:r>
          </w:p>
        </w:tc>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View and edit assigned funds only, add commentary, change break categories</w:t>
            </w:r>
          </w:p>
        </w:tc>
        <w:tc>
          <w:tcPr>
            <w:tcW w:type="dxa" w:w="5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Cannot modify roster, cannot sign off other reviewers’ work</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Pricing Analyst</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View price breaks, add pricing commentary, resolve pricing breaks</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Cannot modify non-pricing breaks</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Trade Capture Analyst</w:t>
            </w:r>
          </w:p>
        </w:tc>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View share breaks, add trade commentary, resolve share breaks</w:t>
            </w:r>
          </w:p>
        </w:tc>
        <w:tc>
          <w:tcPr>
            <w:tcW w:type="dxa" w:w="5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Cannot modify non-trade breaks</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Ops Analyst</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View income/reclaim breaks, add NAV Ops commentary</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Cannot modify non-NAV-Ops breaks</w:t>
            </w:r>
          </w:p>
        </w:tc>
      </w:tr>
      <w:tr>
        <w:tc>
          <w:tcPr>
            <w:tcW w:type="dxa" w:w="2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Client Stakeholder</w:t>
            </w:r>
          </w:p>
        </w:tc>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Read-only Client Scorecard and RAG Status Tracker</w:t>
            </w:r>
          </w:p>
        </w:tc>
        <w:tc>
          <w:tcPr>
            <w:tcW w:type="dxa" w:w="5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 edit access to any reconciliation data</w:t>
            </w:r>
          </w:p>
        </w:tc>
      </w:tr>
      <w:tr>
        <w:tc>
          <w:tcPr>
            <w:tcW w:type="dxa" w:w="2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Auditor</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Read-only access to all views including full audit trail</w:t>
            </w:r>
          </w:p>
        </w:tc>
        <w:tc>
          <w:tcPr>
            <w:tcW w:type="dxa" w:w="5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 edit access</w:t>
            </w:r>
          </w:p>
        </w:tc>
      </w:tr>
    </w:tbl>
    <w:p>
      <w:pPr>
        <w:spacing w:after="80"/>
      </w:pPr>
    </w:p>
    <w:p>
      <w:pPr>
        <w:pStyle w:val="Heading2"/>
      </w:pPr>
      <w:r>
        <w:t xml:space="preserve">12.5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W w:type="dxa" w:w="4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Measurement Context</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Level Dashboard Load</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500ms</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50 funds with full NAV comparison data</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 Class Dashboard Load</w:t>
            </w:r>
          </w:p>
        </w:tc>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1 second</w:t>
            </w:r>
          </w:p>
        </w:tc>
        <w:tc>
          <w:tcPr>
            <w:tcW w:type="dxa" w:w="4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200+ share classes across 50 funds</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Client Scorecard Render</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800ms</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50 funds with 5+ KD columns and adjusted calculations</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Trial Balance Grid Load</w:t>
            </w:r>
          </w:p>
        </w:tc>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1 second</w:t>
            </w:r>
          </w:p>
        </w:tc>
        <w:tc>
          <w:tcPr>
            <w:tcW w:type="dxa" w:w="4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100+ TB line items with multi-line commentary</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Portfolio Positions Grid</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1.5 seconds</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500+ positions with all comparison columns</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Commentary Rollup Calculation</w:t>
            </w:r>
          </w:p>
        </w:tc>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2 seconds</w:t>
            </w:r>
          </w:p>
        </w:tc>
        <w:tc>
          <w:tcPr>
            <w:tcW w:type="dxa" w:w="4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bottom-up rollup from L3 to L0 for one fund</w:t>
            </w:r>
          </w:p>
        </w:tc>
      </w:tr>
      <w:tr>
        <w:tc>
          <w:tcPr>
            <w:tcW w:type="dxa" w:w="30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Real-Time Update Latency</w:t>
            </w:r>
          </w:p>
        </w:tc>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200ms</w:t>
            </w:r>
          </w:p>
        </w:tc>
        <w:tc>
          <w:tcPr>
            <w:tcW w:type="dxa" w:w="4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WebSocket message to UI refresh</w:t>
            </w:r>
          </w:p>
        </w:tc>
      </w:tr>
      <w:tr>
        <w:tc>
          <w:tcPr>
            <w:tcW w:type="dxa" w:w="30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Export to Excel</w:t>
            </w:r>
          </w:p>
        </w:tc>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&lt; 5 seconds</w:t>
            </w:r>
          </w:p>
        </w:tc>
        <w:tc>
          <w:tcPr>
            <w:tcW w:type="dxa" w:w="4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Any grid view with 1000+ rows</w:t>
            </w:r>
          </w:p>
        </w:tc>
      </w:tr>
    </w:tbl>
    <w:p>
      <w:r>
        <w:br w:type="page"/>
      </w:r>
    </w:p>
    <w:p>
      <w:pPr>
        <w:pStyle w:val="Heading1"/>
      </w:pPr>
      <w:r>
        <w:t xml:space="preserve">13. Implementation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32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Deliverables</w:t>
            </w:r>
          </w:p>
        </w:tc>
        <w:tc>
          <w:tcPr>
            <w:tcW w:type="dxa" w:w="49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 &amp; Dependencies</w:t>
            </w:r>
          </w:p>
        </w:tc>
      </w:tr>
      <w:tr>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1</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Reviewer Allocation Roster, Break Category Taxonomy, Break Team Assignment Configuration, Known Differences Admin</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1-3: Foundation modules, no external dependencies</w:t>
            </w:r>
          </w:p>
        </w:tc>
      </w:tr>
      <w:tr>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2</w:t>
            </w:r>
          </w:p>
        </w:tc>
        <w:tc>
          <w:tcPr>
            <w:tcW w:type="dxa" w:w="3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Fund Level Dashboard, NAV Share Class Dashboard, RAG Threshold Configuration</w:t>
            </w:r>
          </w:p>
        </w:tc>
        <w:tc>
          <w:tcPr>
            <w:tcW w:type="dxa" w:w="4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3-6: Core NAV comparison views, depends on data ingestion pipeline</w:t>
            </w:r>
          </w:p>
        </w:tc>
      </w:tr>
      <w:tr>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3</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 Client Scorecard with KD column generation, Adjusted RAG Calculation, NAV RAG Status Tracker</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6-9: Client-facing views, depends on Phase 2 + KD configuration</w:t>
            </w:r>
          </w:p>
        </w:tc>
      </w:tr>
      <w:tr>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4</w:t>
            </w:r>
          </w:p>
        </w:tc>
        <w:tc>
          <w:tcPr>
            <w:tcW w:type="dxa" w:w="3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Trial Balance Reconciliation with commentary structure, Commentary Rollup Engine</w:t>
            </w:r>
          </w:p>
        </w:tc>
        <w:tc>
          <w:tcPr>
            <w:tcW w:type="dxa" w:w="4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8-11: GL-level reconciliation, depends on canonical TB model</w:t>
            </w:r>
          </w:p>
        </w:tc>
      </w:tr>
      <w:tr>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5</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Portfolio Positions, Share Breaks with auto-assignment, Price Breaks with auto-assignment, Tax Lots</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10-14: Position-level views, depends on position data feeds</w:t>
            </w:r>
          </w:p>
        </w:tc>
      </w:tr>
      <w:tr>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6</w:t>
            </w:r>
          </w:p>
        </w:tc>
        <w:tc>
          <w:tcPr>
            <w:tcW w:type="dxa" w:w="3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Income Dividends (High Level + Drilldown), Income Fixed Income (High Level + Drilldown)</w:t>
            </w:r>
          </w:p>
        </w:tc>
        <w:tc>
          <w:tcPr>
            <w:tcW w:type="dxa" w:w="4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13-16: Income reconciliation, depends on income event data feeds</w:t>
            </w:r>
          </w:p>
        </w:tc>
      </w:tr>
      <w:tr>
        <w:tc>
          <w:tcPr>
            <w:tcW w:type="dxa" w:w="1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7</w:t>
            </w:r>
          </w:p>
        </w:tc>
        <w:tc>
          <w:tcPr>
            <w:tcW w:type="dxa" w:w="32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Derivatives Forwards, Derivatives Futures, Auto-Notification Engine, Export &amp; Audit</w:t>
            </w:r>
          </w:p>
        </w:tc>
        <w:tc>
          <w:tcPr>
            <w:tcW w:type="dxa" w:w="49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15-18: Derivatives + cross-cutting, depends on OTC/listed data feeds</w:t>
            </w:r>
          </w:p>
        </w:tc>
      </w:tr>
      <w:tr>
        <w:tc>
          <w:tcPr>
            <w:tcW w:type="dxa" w:w="1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Phase 8</w:t>
            </w:r>
          </w:p>
        </w:tc>
        <w:tc>
          <w:tcPr>
            <w:tcW w:type="dxa" w:w="32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End-to-end integration testing, UAT with ACE Fund Onboarding pilot, Performance tuning</w:t>
            </w:r>
          </w:p>
        </w:tc>
        <w:tc>
          <w:tcPr>
            <w:tcW w:type="dxa" w:w="49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Weeks 18-20: Stabilization and client pilot</w:t>
            </w:r>
          </w:p>
        </w:tc>
      </w:tr>
    </w:tbl>
    <w:p>
      <w:r>
        <w:br w:type="page"/>
      </w:r>
    </w:p>
    <w:p>
      <w:pPr>
        <w:pStyle w:val="Heading1"/>
      </w:pPr>
      <w:r>
        <w:t xml:space="preserve">14. Appendix</w:t>
      </w:r>
    </w:p>
    <w:p>
      <w:pPr>
        <w:spacing w:after="80"/>
      </w:pPr>
    </w:p>
    <w:p>
      <w:pPr>
        <w:pStyle w:val="Heading2"/>
      </w:pPr>
      <w:r>
        <w:t xml:space="preserve">14.1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Abbreviation</w:t>
            </w:r>
          </w:p>
        </w:tc>
        <w:tc>
          <w:tcPr>
            <w:tcW w:type="dxa" w:w="7560"/>
            <w:tcBorders>
              <w:top w:val="single" w:color="B4C6D6" w:sz="1"/>
              <w:left w:val="single" w:color="B4C6D6" w:sz="1"/>
              <w:bottom w:val="single" w:color="B4C6D6" w:sz="1"/>
              <w:right w:val="single" w:color="B4C6D6"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NAV</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Net Asset Value</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RAG</w:t>
            </w:r>
          </w:p>
        </w:tc>
        <w:tc>
          <w:tcPr>
            <w:tcW w:type="dxa" w:w="7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Red / Amber / Green status indicator</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BP</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Basis Points (1 BP = 0.01%)</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TB</w:t>
            </w:r>
          </w:p>
        </w:tc>
        <w:tc>
          <w:tcPr>
            <w:tcW w:type="dxa" w:w="7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Trial Balance</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KD</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Known Difference</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SC</w:t>
            </w:r>
          </w:p>
        </w:tc>
        <w:tc>
          <w:tcPr>
            <w:tcW w:type="dxa" w:w="7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Commentary (for processing differences)</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G/L</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Gain/Loss</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XD</w:t>
            </w:r>
          </w:p>
        </w:tc>
        <w:tc>
          <w:tcPr>
            <w:tcW w:type="dxa" w:w="7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Ex-Dividend</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FX</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Foreign Exchange</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OTC</w:t>
            </w:r>
          </w:p>
        </w:tc>
        <w:tc>
          <w:tcPr>
            <w:tcW w:type="dxa" w:w="7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Over-the-Counter</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BNY Mellon (the acquiring service provider)</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CPU</w:t>
            </w:r>
          </w:p>
        </w:tc>
        <w:tc>
          <w:tcPr>
            <w:tcW w:type="dxa" w:w="7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Central Processing Unit (BNY internal NAV calculation system)</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Fund Accounting</w:t>
            </w:r>
          </w:p>
        </w:tc>
      </w:tr>
      <w:tr>
        <w:tc>
          <w:tcPr>
            <w:tcW w:type="dxa" w:w="180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TC</w:t>
            </w:r>
          </w:p>
        </w:tc>
        <w:tc>
          <w:tcPr>
            <w:tcW w:type="dxa" w:w="7560"/>
            <w:tcBorders>
              <w:top w:val="single" w:color="B4C6D6" w:sz="1"/>
              <w:left w:val="single" w:color="B4C6D6" w:sz="1"/>
              <w:bottom w:val="single" w:color="B4C6D6" w:sz="1"/>
              <w:right w:val="single" w:color="B4C6D6" w:sz="1"/>
            </w:tcBorders>
            <w:shd w:fill="EBF2FA"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Trade Capture</w:t>
            </w:r>
          </w:p>
        </w:tc>
      </w:tr>
      <w:tr>
        <w:tc>
          <w:tcPr>
            <w:tcW w:type="dxa" w:w="180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w:t>
            </w:r>
          </w:p>
        </w:tc>
        <w:tc>
          <w:tcPr>
            <w:tcW w:type="dxa" w:w="7560"/>
            <w:tcBorders>
              <w:top w:val="single" w:color="B4C6D6" w:sz="1"/>
              <w:left w:val="single" w:color="B4C6D6" w:sz="1"/>
              <w:bottom w:val="single" w:color="B4C6D6" w:sz="1"/>
              <w:right w:val="single" w:color="B4C6D6"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Corporate Actions</w:t>
            </w:r>
          </w:p>
        </w:tc>
      </w:tr>
    </w:tbl>
    <w:p>
      <w:pPr>
        <w:spacing w:after="80"/>
      </w:pPr>
    </w:p>
    <w:p>
      <w:pPr>
        <w:pStyle w:val="Heading2"/>
      </w:pPr>
      <w:r>
        <w:t xml:space="preserve">14.2 Source Reference</w:t>
      </w:r>
    </w:p>
    <w:p>
      <w:pPr>
        <w:spacing w:after="120"/>
      </w:pPr>
      <w:r>
        <w:rPr>
          <w:rFonts w:ascii="Arial" w:cs="Arial" w:eastAsia="Arial" w:hAnsi="Arial"/>
          <w:color w:val="333333"/>
          <w:sz w:val="22"/>
          <w:szCs w:val="22"/>
        </w:rPr>
        <w:t xml:space="preserve">This specification was derived from the ACE Fund Onboarding - Conversion Requirements &amp; Reconciliations workbook (DRAFT), which contains the following tabs used as primary source material:</w:t>
      </w:r>
    </w:p>
    <w:p>
      <w:pPr>
        <w:spacing w:after="80"/>
      </w:pPr>
    </w:p>
    <w:p>
      <w:pPr>
        <w:spacing w:after="120"/>
      </w:pPr>
      <w:r>
        <w:rPr>
          <w:rFonts w:ascii="Arial" w:cs="Arial" w:eastAsia="Arial" w:hAnsi="Arial"/>
          <w:b/>
          <w:bCs/>
          <w:color w:val="333333"/>
          <w:sz w:val="22"/>
          <w:szCs w:val="22"/>
        </w:rPr>
        <w:t xml:space="preserve">Tab: Reviewer Allocation</w:t>
      </w:r>
      <w:r>
        <w:rPr>
          <w:rFonts w:ascii="Arial" w:cs="Arial" w:eastAsia="Arial" w:hAnsi="Arial"/>
          <w:color w:val="333333"/>
          <w:sz w:val="22"/>
          <w:szCs w:val="22"/>
        </w:rPr>
        <w:t xml:space="preserve"> - Daily reviewer roster matrix</w:t>
      </w:r>
    </w:p>
    <w:p>
      <w:pPr>
        <w:spacing w:after="120"/>
      </w:pPr>
      <w:r>
        <w:rPr>
          <w:rFonts w:ascii="Arial" w:cs="Arial" w:eastAsia="Arial" w:hAnsi="Arial"/>
          <w:b/>
          <w:bCs/>
          <w:color w:val="333333"/>
          <w:sz w:val="22"/>
          <w:szCs w:val="22"/>
        </w:rPr>
        <w:t xml:space="preserve">Tab: Dropdowns</w:t>
      </w:r>
      <w:r>
        <w:rPr>
          <w:rFonts w:ascii="Arial" w:cs="Arial" w:eastAsia="Arial" w:hAnsi="Arial"/>
          <w:color w:val="333333"/>
          <w:sz w:val="22"/>
          <w:szCs w:val="22"/>
        </w:rPr>
        <w:t xml:space="preserve"> - Break Category, Review Status, Break Assignment enumerations</w:t>
      </w:r>
    </w:p>
    <w:p>
      <w:pPr>
        <w:spacing w:after="120"/>
      </w:pPr>
      <w:r>
        <w:rPr>
          <w:rFonts w:ascii="Arial" w:cs="Arial" w:eastAsia="Arial" w:hAnsi="Arial"/>
          <w:b/>
          <w:bCs/>
          <w:color w:val="333333"/>
          <w:sz w:val="22"/>
          <w:szCs w:val="22"/>
        </w:rPr>
        <w:t xml:space="preserve">Tab: Known Differences</w:t>
      </w:r>
      <w:r>
        <w:rPr>
          <w:rFonts w:ascii="Arial" w:cs="Arial" w:eastAsia="Arial" w:hAnsi="Arial"/>
          <w:color w:val="333333"/>
          <w:sz w:val="22"/>
          <w:szCs w:val="22"/>
        </w:rPr>
        <w:t xml:space="preserve"> - KD/SC reference table with standard commentary</w:t>
      </w:r>
    </w:p>
    <w:p>
      <w:pPr>
        <w:spacing w:after="120"/>
      </w:pPr>
      <w:r>
        <w:rPr>
          <w:rFonts w:ascii="Arial" w:cs="Arial" w:eastAsia="Arial" w:hAnsi="Arial"/>
          <w:b/>
          <w:bCs/>
          <w:color w:val="333333"/>
          <w:sz w:val="22"/>
          <w:szCs w:val="22"/>
        </w:rPr>
        <w:t xml:space="preserve">Tab: NAV - Fund Level</w:t>
      </w:r>
      <w:r>
        <w:rPr>
          <w:rFonts w:ascii="Arial" w:cs="Arial" w:eastAsia="Arial" w:hAnsi="Arial"/>
          <w:color w:val="333333"/>
          <w:sz w:val="22"/>
          <w:szCs w:val="22"/>
        </w:rPr>
        <w:t xml:space="preserve"> - Fund-level NAV comparison grid</w:t>
      </w:r>
    </w:p>
    <w:p>
      <w:pPr>
        <w:spacing w:after="120"/>
      </w:pPr>
      <w:r>
        <w:rPr>
          <w:rFonts w:ascii="Arial" w:cs="Arial" w:eastAsia="Arial" w:hAnsi="Arial"/>
          <w:b/>
          <w:bCs/>
          <w:color w:val="333333"/>
          <w:sz w:val="22"/>
          <w:szCs w:val="22"/>
        </w:rPr>
        <w:t xml:space="preserve">Tab: NAV - Share Class</w:t>
      </w:r>
      <w:r>
        <w:rPr>
          <w:rFonts w:ascii="Arial" w:cs="Arial" w:eastAsia="Arial" w:hAnsi="Arial"/>
          <w:color w:val="333333"/>
          <w:sz w:val="22"/>
          <w:szCs w:val="22"/>
        </w:rPr>
        <w:t xml:space="preserve"> - Share class decomposition with prior day data</w:t>
      </w:r>
    </w:p>
    <w:p>
      <w:pPr>
        <w:spacing w:after="120"/>
      </w:pPr>
      <w:r>
        <w:rPr>
          <w:rFonts w:ascii="Arial" w:cs="Arial" w:eastAsia="Arial" w:hAnsi="Arial"/>
          <w:b/>
          <w:bCs/>
          <w:color w:val="333333"/>
          <w:sz w:val="22"/>
          <w:szCs w:val="22"/>
        </w:rPr>
        <w:t xml:space="preserve">Tab: NAV - Client Scorecard</w:t>
      </w:r>
      <w:r>
        <w:rPr>
          <w:rFonts w:ascii="Arial" w:cs="Arial" w:eastAsia="Arial" w:hAnsi="Arial"/>
          <w:color w:val="333333"/>
          <w:sz w:val="22"/>
          <w:szCs w:val="22"/>
        </w:rPr>
        <w:t xml:space="preserve"> - Adjusted RAG with KD columns</w:t>
      </w:r>
    </w:p>
    <w:p>
      <w:pPr>
        <w:spacing w:after="120"/>
      </w:pPr>
      <w:r>
        <w:rPr>
          <w:rFonts w:ascii="Arial" w:cs="Arial" w:eastAsia="Arial" w:hAnsi="Arial"/>
          <w:b/>
          <w:bCs/>
          <w:color w:val="333333"/>
          <w:sz w:val="22"/>
          <w:szCs w:val="22"/>
        </w:rPr>
        <w:t xml:space="preserve">Tab: NAV - RAG Status</w:t>
      </w:r>
      <w:r>
        <w:rPr>
          <w:rFonts w:ascii="Arial" w:cs="Arial" w:eastAsia="Arial" w:hAnsi="Arial"/>
          <w:color w:val="333333"/>
          <w:sz w:val="22"/>
          <w:szCs w:val="22"/>
        </w:rPr>
        <w:t xml:space="preserve"> - Day-over-day BP tracking (Guggenheim example)</w:t>
      </w:r>
    </w:p>
    <w:p>
      <w:pPr>
        <w:spacing w:after="120"/>
      </w:pPr>
      <w:r>
        <w:rPr>
          <w:rFonts w:ascii="Arial" w:cs="Arial" w:eastAsia="Arial" w:hAnsi="Arial"/>
          <w:b/>
          <w:bCs/>
          <w:color w:val="333333"/>
          <w:sz w:val="22"/>
          <w:szCs w:val="22"/>
        </w:rPr>
        <w:t xml:space="preserve">Tab: TB</w:t>
      </w:r>
      <w:r>
        <w:rPr>
          <w:rFonts w:ascii="Arial" w:cs="Arial" w:eastAsia="Arial" w:hAnsi="Arial"/>
          <w:color w:val="333333"/>
          <w:sz w:val="22"/>
          <w:szCs w:val="22"/>
        </w:rPr>
        <w:t xml:space="preserve"> - Trial Balance with structured commentary</w:t>
      </w:r>
    </w:p>
    <w:p>
      <w:pPr>
        <w:spacing w:after="120"/>
      </w:pPr>
      <w:r>
        <w:rPr>
          <w:rFonts w:ascii="Arial" w:cs="Arial" w:eastAsia="Arial" w:hAnsi="Arial"/>
          <w:b/>
          <w:bCs/>
          <w:color w:val="333333"/>
          <w:sz w:val="22"/>
          <w:szCs w:val="22"/>
        </w:rPr>
        <w:t xml:space="preserve">Tab: Positions - Full Portfolio</w:t>
      </w:r>
      <w:r>
        <w:rPr>
          <w:rFonts w:ascii="Arial" w:cs="Arial" w:eastAsia="Arial" w:hAnsi="Arial"/>
          <w:color w:val="333333"/>
          <w:sz w:val="22"/>
          <w:szCs w:val="22"/>
        </w:rPr>
        <w:t xml:space="preserve"> - Security-level full comparison</w:t>
      </w:r>
    </w:p>
    <w:p>
      <w:pPr>
        <w:spacing w:after="120"/>
      </w:pPr>
      <w:r>
        <w:rPr>
          <w:rFonts w:ascii="Arial" w:cs="Arial" w:eastAsia="Arial" w:hAnsi="Arial"/>
          <w:b/>
          <w:bCs/>
          <w:color w:val="333333"/>
          <w:sz w:val="22"/>
          <w:szCs w:val="22"/>
        </w:rPr>
        <w:t xml:space="preserve">Tab: Positions - Share Breaks</w:t>
      </w:r>
      <w:r>
        <w:rPr>
          <w:rFonts w:ascii="Arial" w:cs="Arial" w:eastAsia="Arial" w:hAnsi="Arial"/>
          <w:color w:val="333333"/>
          <w:sz w:val="22"/>
          <w:szCs w:val="22"/>
        </w:rPr>
        <w:t xml:space="preserve"> - Filtered share break view with auto-assignment</w:t>
      </w:r>
    </w:p>
    <w:p>
      <w:pPr>
        <w:spacing w:after="120"/>
      </w:pPr>
      <w:r>
        <w:rPr>
          <w:rFonts w:ascii="Arial" w:cs="Arial" w:eastAsia="Arial" w:hAnsi="Arial"/>
          <w:b/>
          <w:bCs/>
          <w:color w:val="333333"/>
          <w:sz w:val="22"/>
          <w:szCs w:val="22"/>
        </w:rPr>
        <w:t xml:space="preserve">Tab: Positions - Price Breaks</w:t>
      </w:r>
      <w:r>
        <w:rPr>
          <w:rFonts w:ascii="Arial" w:cs="Arial" w:eastAsia="Arial" w:hAnsi="Arial"/>
          <w:color w:val="333333"/>
          <w:sz w:val="22"/>
          <w:szCs w:val="22"/>
        </w:rPr>
        <w:t xml:space="preserve"> - Filtered price break view with auto-assignment</w:t>
      </w:r>
    </w:p>
    <w:p>
      <w:pPr>
        <w:spacing w:after="120"/>
      </w:pPr>
      <w:r>
        <w:rPr>
          <w:rFonts w:ascii="Arial" w:cs="Arial" w:eastAsia="Arial" w:hAnsi="Arial"/>
          <w:b/>
          <w:bCs/>
          <w:color w:val="333333"/>
          <w:sz w:val="22"/>
          <w:szCs w:val="22"/>
        </w:rPr>
        <w:t xml:space="preserve">Tab: Positions - Tax Lots</w:t>
      </w:r>
      <w:r>
        <w:rPr>
          <w:rFonts w:ascii="Arial" w:cs="Arial" w:eastAsia="Arial" w:hAnsi="Arial"/>
          <w:color w:val="333333"/>
          <w:sz w:val="22"/>
          <w:szCs w:val="22"/>
        </w:rPr>
        <w:t xml:space="preserve"> - Lot-level position reconciliation</w:t>
      </w:r>
    </w:p>
    <w:p>
      <w:pPr>
        <w:spacing w:after="120"/>
      </w:pPr>
      <w:r>
        <w:rPr>
          <w:rFonts w:ascii="Arial" w:cs="Arial" w:eastAsia="Arial" w:hAnsi="Arial"/>
          <w:b/>
          <w:bCs/>
          <w:color w:val="333333"/>
          <w:sz w:val="22"/>
          <w:szCs w:val="22"/>
        </w:rPr>
        <w:t xml:space="preserve">Tab: Income - Dividends</w:t>
      </w:r>
      <w:r>
        <w:rPr>
          <w:rFonts w:ascii="Arial" w:cs="Arial" w:eastAsia="Arial" w:hAnsi="Arial"/>
          <w:color w:val="333333"/>
          <w:sz w:val="22"/>
          <w:szCs w:val="22"/>
        </w:rPr>
        <w:t xml:space="preserve"> - High level and detailed dividend reconciliation</w:t>
      </w:r>
    </w:p>
    <w:p>
      <w:pPr>
        <w:spacing w:after="120"/>
      </w:pPr>
      <w:r>
        <w:rPr>
          <w:rFonts w:ascii="Arial" w:cs="Arial" w:eastAsia="Arial" w:hAnsi="Arial"/>
          <w:b/>
          <w:bCs/>
          <w:color w:val="333333"/>
          <w:sz w:val="22"/>
          <w:szCs w:val="22"/>
        </w:rPr>
        <w:t xml:space="preserve">Tab: Income - Fixed Income</w:t>
      </w:r>
      <w:r>
        <w:rPr>
          <w:rFonts w:ascii="Arial" w:cs="Arial" w:eastAsia="Arial" w:hAnsi="Arial"/>
          <w:color w:val="333333"/>
          <w:sz w:val="22"/>
          <w:szCs w:val="22"/>
        </w:rPr>
        <w:t xml:space="preserve"> - High level and detailed coupon reconciliation</w:t>
      </w:r>
    </w:p>
    <w:p>
      <w:pPr>
        <w:spacing w:after="120"/>
      </w:pPr>
      <w:r>
        <w:rPr>
          <w:rFonts w:ascii="Arial" w:cs="Arial" w:eastAsia="Arial" w:hAnsi="Arial"/>
          <w:b/>
          <w:bCs/>
          <w:color w:val="333333"/>
          <w:sz w:val="22"/>
          <w:szCs w:val="22"/>
        </w:rPr>
        <w:t xml:space="preserve">Tab: Derivatives - Forwards</w:t>
      </w:r>
      <w:r>
        <w:rPr>
          <w:rFonts w:ascii="Arial" w:cs="Arial" w:eastAsia="Arial" w:hAnsi="Arial"/>
          <w:color w:val="333333"/>
          <w:sz w:val="22"/>
          <w:szCs w:val="22"/>
        </w:rPr>
        <w:t xml:space="preserve"> - FX forward reconciliation</w:t>
      </w:r>
    </w:p>
    <w:p>
      <w:pPr>
        <w:spacing w:after="120"/>
      </w:pPr>
      <w:r>
        <w:rPr>
          <w:rFonts w:ascii="Arial" w:cs="Arial" w:eastAsia="Arial" w:hAnsi="Arial"/>
          <w:b/>
          <w:bCs/>
          <w:color w:val="333333"/>
          <w:sz w:val="22"/>
          <w:szCs w:val="22"/>
        </w:rPr>
        <w:t xml:space="preserve">Tab: Derivatives - Futures</w:t>
      </w:r>
      <w:r>
        <w:rPr>
          <w:rFonts w:ascii="Arial" w:cs="Arial" w:eastAsia="Arial" w:hAnsi="Arial"/>
          <w:color w:val="333333"/>
          <w:sz w:val="22"/>
          <w:szCs w:val="22"/>
        </w:rPr>
        <w:t xml:space="preserve"> - Futures position reconciliation</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i/>
        <w:iCs/>
        <w:color w:val="999999"/>
        <w:sz w:val="16"/>
        <w:szCs w:val="16"/>
      </w:rPr>
      <w:t xml:space="preserve">RECON-AI  |  Break Resolution &amp; Dashboarding Specification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2026-02-24T12:07:46.216Z</dcterms:created>
  <dcterms:modified xsi:type="dcterms:W3CDTF">2026-02-24T12:07:46.217Z</dcterms:modified>
</cp:coreProperties>
</file>

<file path=docProps/custom.xml><?xml version="1.0" encoding="utf-8"?>
<Properties xmlns="http://schemas.openxmlformats.org/officeDocument/2006/custom-properties" xmlns:vt="http://schemas.openxmlformats.org/officeDocument/2006/docPropsVTypes"/>
</file>