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2A4A" w:sz="6"/>
              <w:bottom w:val="single" w:color="D4A84B" w:sz="6"/>
              <w:right w:val="none" w:sz="0"/>
            </w:tcBorders>
            <w:shd w:fill="1B2A4A" w:val="clear"/>
            <w:tcMar>
              <w:top w:type="dxa" w:w="400"/>
              <w:left w:type="dxa" w:w="400"/>
              <w:bottom w:type="dxa" w:w="400"/>
              <w:right w:type="dxa" w:w="400"/>
            </w:tcMar>
          </w:tcPr>
          <w:p>
            <w:r>
              <w:rPr>
                <w:rFonts w:ascii="Arial" w:cs="Arial" w:eastAsia="Arial" w:hAnsi="Arial"/>
                <w:b/>
                <w:bCs/>
                <w:color w:val="D4A84B"/>
                <w:sz w:val="56"/>
                <w:szCs w:val="56"/>
              </w:rPr>
              <w:t xml:space="preserve">RECON-AI</w:t>
            </w:r>
          </w:p>
          <w:p>
            <w:pPr>
              <w:spacing w:before="120"/>
            </w:pPr>
            <w:r>
              <w:rPr>
                <w:rFonts w:ascii="Arial" w:cs="Arial" w:eastAsia="Arial" w:hAnsi="Arial"/>
                <w:color w:val="FFFFFF"/>
                <w:sz w:val="40"/>
                <w:szCs w:val="40"/>
              </w:rPr>
              <w:t xml:space="preserve">AI-Powered Multi-Level Reconciliation</w:t>
            </w:r>
          </w:p>
          <w:p>
            <w:pPr>
              <w:spacing w:before="60"/>
            </w:pPr>
            <w:r>
              <w:rPr>
                <w:rFonts w:ascii="Arial" w:cs="Arial" w:eastAsia="Arial" w:hAnsi="Arial"/>
                <w:color w:val="FFFFFF"/>
                <w:sz w:val="40"/>
                <w:szCs w:val="40"/>
              </w:rPr>
              <w:t xml:space="preserve">Analysis Agent System</w:t>
            </w:r>
          </w:p>
        </w:tc>
      </w:tr>
    </w:tbl>
    <w:p>
      <w:pPr>
        <w:spacing w:after="400"/>
      </w:pPr>
    </w:p>
    <w:p>
      <w:r>
        <w:rPr>
          <w:rFonts w:ascii="Arial" w:cs="Arial" w:eastAsia="Arial" w:hAnsi="Arial"/>
          <w:i/>
          <w:iCs/>
          <w:color w:val="6B7280"/>
          <w:sz w:val="28"/>
          <w:szCs w:val="28"/>
        </w:rPr>
        <w:t xml:space="preserve">Architecture &amp; Design Specification</w:t>
      </w:r>
    </w:p>
    <w:p>
      <w:pPr>
        <w:spacing w:after="2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Pr>
          <w:p>
            <w:r>
              <w:rPr>
                <w:rFonts w:ascii="Arial" w:cs="Arial" w:eastAsia="Arial" w:hAnsi="Arial"/>
                <w:b/>
                <w:bCs/>
                <w:color w:val="6B7280"/>
                <w:sz w:val="22"/>
                <w:szCs w:val="22"/>
              </w:rPr>
              <w:t xml:space="preserve">Version:</w:t>
            </w:r>
          </w:p>
        </w:tc>
        <w:tc>
          <w:tcPr>
            <w:tcW w:type="dxa" w:w="3000"/>
            <w:tcBorders>
              <w:top w:val="none" w:sz="0"/>
              <w:left w:val="none" w:sz="0"/>
              <w:bottom w:val="none" w:sz="0"/>
              <w:right w:val="none" w:sz="0"/>
            </w:tcBorders>
          </w:tcPr>
          <w:p>
            <w:r>
              <w:rPr>
                <w:rFonts w:ascii="Arial" w:cs="Arial" w:eastAsia="Arial" w:hAnsi="Arial"/>
                <w:color w:val="1A1A1A"/>
                <w:sz w:val="22"/>
                <w:szCs w:val="22"/>
              </w:rPr>
              <w:t xml:space="preserve">1.0</w:t>
            </w:r>
          </w:p>
        </w:tc>
      </w:tr>
      <w:tr>
        <w:tc>
          <w:tcPr>
            <w:tcW w:type="dxa" w:w="2000"/>
            <w:tcBorders>
              <w:top w:val="none" w:sz="0"/>
              <w:left w:val="none" w:sz="0"/>
              <w:bottom w:val="none" w:sz="0"/>
              <w:right w:val="none" w:sz="0"/>
            </w:tcBorders>
          </w:tcPr>
          <w:p>
            <w:r>
              <w:rPr>
                <w:rFonts w:ascii="Arial" w:cs="Arial" w:eastAsia="Arial" w:hAnsi="Arial"/>
                <w:b/>
                <w:bCs/>
                <w:color w:val="6B7280"/>
                <w:sz w:val="22"/>
                <w:szCs w:val="22"/>
              </w:rPr>
              <w:t xml:space="preserve">Date:</w:t>
            </w:r>
          </w:p>
        </w:tc>
        <w:tc>
          <w:tcPr>
            <w:tcW w:type="dxa" w:w="3000"/>
            <w:tcBorders>
              <w:top w:val="none" w:sz="0"/>
              <w:left w:val="none" w:sz="0"/>
              <w:bottom w:val="none" w:sz="0"/>
              <w:right w:val="none" w:sz="0"/>
            </w:tcBorders>
          </w:tcPr>
          <w:p>
            <w:r>
              <w:rPr>
                <w:rFonts w:ascii="Arial" w:cs="Arial" w:eastAsia="Arial" w:hAnsi="Arial"/>
                <w:color w:val="1A1A1A"/>
                <w:sz w:val="22"/>
                <w:szCs w:val="22"/>
              </w:rPr>
              <w:t xml:space="preserve">February 2026</w:t>
            </w:r>
          </w:p>
        </w:tc>
      </w:tr>
      <w:tr>
        <w:tc>
          <w:tcPr>
            <w:tcW w:type="dxa" w:w="2000"/>
            <w:tcBorders>
              <w:top w:val="none" w:sz="0"/>
              <w:left w:val="none" w:sz="0"/>
              <w:bottom w:val="none" w:sz="0"/>
              <w:right w:val="none" w:sz="0"/>
            </w:tcBorders>
          </w:tcPr>
          <w:p>
            <w:r>
              <w:rPr>
                <w:rFonts w:ascii="Arial" w:cs="Arial" w:eastAsia="Arial" w:hAnsi="Arial"/>
                <w:b/>
                <w:bCs/>
                <w:color w:val="6B7280"/>
                <w:sz w:val="22"/>
                <w:szCs w:val="22"/>
              </w:rPr>
              <w:t xml:space="preserve">Domain:</w:t>
            </w:r>
          </w:p>
        </w:tc>
        <w:tc>
          <w:tcPr>
            <w:tcW w:type="dxa" w:w="3000"/>
            <w:tcBorders>
              <w:top w:val="none" w:sz="0"/>
              <w:left w:val="none" w:sz="0"/>
              <w:bottom w:val="none" w:sz="0"/>
              <w:right w:val="none" w:sz="0"/>
            </w:tcBorders>
          </w:tcPr>
          <w:p>
            <w:r>
              <w:rPr>
                <w:rFonts w:ascii="Arial" w:cs="Arial" w:eastAsia="Arial" w:hAnsi="Arial"/>
                <w:color w:val="1A1A1A"/>
                <w:sz w:val="22"/>
                <w:szCs w:val="22"/>
              </w:rPr>
              <w:t xml:space="preserve">Fund Administration</w:t>
            </w:r>
          </w:p>
        </w:tc>
      </w:tr>
      <w:tr>
        <w:tc>
          <w:tcPr>
            <w:tcW w:type="dxa" w:w="2000"/>
            <w:tcBorders>
              <w:top w:val="none" w:sz="0"/>
              <w:left w:val="none" w:sz="0"/>
              <w:bottom w:val="none" w:sz="0"/>
              <w:right w:val="none" w:sz="0"/>
            </w:tcBorders>
          </w:tcPr>
          <w:p>
            <w:r>
              <w:rPr>
                <w:rFonts w:ascii="Arial" w:cs="Arial" w:eastAsia="Arial" w:hAnsi="Arial"/>
                <w:b/>
                <w:bCs/>
                <w:color w:val="6B7280"/>
                <w:sz w:val="22"/>
                <w:szCs w:val="22"/>
              </w:rPr>
              <w:t xml:space="preserve">Context:</w:t>
            </w:r>
          </w:p>
        </w:tc>
        <w:tc>
          <w:tcPr>
            <w:tcW w:type="dxa" w:w="3000"/>
            <w:tcBorders>
              <w:top w:val="none" w:sz="0"/>
              <w:left w:val="none" w:sz="0"/>
              <w:bottom w:val="none" w:sz="0"/>
              <w:right w:val="none" w:sz="0"/>
            </w:tcBorders>
          </w:tcPr>
          <w:p>
            <w:r>
              <w:rPr>
                <w:rFonts w:ascii="Arial" w:cs="Arial" w:eastAsia="Arial" w:hAnsi="Arial"/>
                <w:color w:val="1A1A1A"/>
                <w:sz w:val="22"/>
                <w:szCs w:val="22"/>
              </w:rPr>
              <w:t xml:space="preserve">Production Parallel Phase – Incumbent Comparison</w:t>
            </w:r>
          </w:p>
        </w:tc>
      </w:tr>
      <w:tr>
        <w:tc>
          <w:tcPr>
            <w:tcW w:type="dxa" w:w="2000"/>
            <w:tcBorders>
              <w:top w:val="none" w:sz="0"/>
              <w:left w:val="none" w:sz="0"/>
              <w:bottom w:val="none" w:sz="0"/>
              <w:right w:val="none" w:sz="0"/>
            </w:tcBorders>
          </w:tcPr>
          <w:p>
            <w:r>
              <w:rPr>
                <w:rFonts w:ascii="Arial" w:cs="Arial" w:eastAsia="Arial" w:hAnsi="Arial"/>
                <w:b/>
                <w:bCs/>
                <w:color w:val="6B7280"/>
                <w:sz w:val="22"/>
                <w:szCs w:val="22"/>
              </w:rPr>
              <w:t xml:space="preserve">Classification:</w:t>
            </w:r>
          </w:p>
        </w:tc>
        <w:tc>
          <w:tcPr>
            <w:tcW w:type="dxa" w:w="3000"/>
            <w:tcBorders>
              <w:top w:val="none" w:sz="0"/>
              <w:left w:val="none" w:sz="0"/>
              <w:bottom w:val="none" w:sz="0"/>
              <w:right w:val="none" w:sz="0"/>
            </w:tcBorders>
          </w:tcPr>
          <w:p>
            <w:r>
              <w:rPr>
                <w:rFonts w:ascii="Arial" w:cs="Arial" w:eastAsia="Arial" w:hAnsi="Arial"/>
                <w:color w:val="C0392B"/>
                <w:sz w:val="22"/>
                <w:szCs w:val="22"/>
              </w:rPr>
              <w:t xml:space="preserve">Internal – Confidential</w:t>
            </w:r>
          </w:p>
        </w:tc>
      </w:tr>
    </w:tbl>
    <w:p>
      <w:pPr>
        <w:spacing w:after="600"/>
      </w:pPr>
    </w:p>
    <w:p>
      <w:r>
        <w:rPr>
          <w:rFonts w:ascii="Arial" w:cs="Arial" w:eastAsia="Arial" w:hAnsi="Arial"/>
          <w:b/>
          <w:bCs/>
          <w:color w:val="C0392B"/>
          <w:sz w:val="20"/>
          <w:szCs w:val="20"/>
        </w:rPr>
        <w:t xml:space="preserve">CONFIDENTIAL – For Internal Use Only</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D4A84B" w:sz="3"/>
              <w:right w:val="none" w:sz="0"/>
            </w:tcBorders>
          </w:tcPr>
          <w:p>
            <w:pPr>
              <w:spacing w:after="0"/>
            </w:pPr>
          </w:p>
        </w:tc>
      </w:tr>
    </w:tbl>
    <w:p>
      <w:pPr>
        <w:spacing w:after="100"/>
      </w:pPr>
    </w:p>
    <w:p>
      <w:pPr>
        <w:pStyle w:val="Heading2"/>
      </w:pPr>
      <w:r>
        <w:t xml:space="preserve">1.1 Problem Statement</w:t>
      </w:r>
    </w:p>
    <w:p>
      <w:pPr>
        <w:spacing w:after="120"/>
      </w:pPr>
      <w:r>
        <w:t xml:space="preserve">During the production parallel phase of mutual fund and ETF migration, reconciliation between the new platform (CPU code base) and the incumbent service provider reveals NAV discrepancies. While the CPU reconciliation engine effectively identifies THAT breaks exist via configuration-driven matching, it cannot explain WHY they occur. Operations analysts currently spend 4-8 hours per fund manually drilling from NAV-level breaks through general ledger, sub-ledger, and individual transactions to isolate root causes. With over 1 million daily transactions across hundreds of funds, this manual forensic analysis creates a critical bottleneck in the parallel validation timeline.</w:t>
      </w:r>
    </w:p>
    <w:p>
      <w:pPr>
        <w:pStyle w:val="Heading2"/>
      </w:pPr>
      <w:r>
        <w:t xml:space="preserve">1.2 Solution Overview</w:t>
      </w:r>
    </w:p>
    <w:p>
      <w:pPr>
        <w:spacing w:after="120"/>
      </w:pPr>
      <w:r>
        <w:t xml:space="preserve">RECON-AI is an intelligent reconciliation analysis agent system that performs multi-level forensic drill-down from NAV breaks to root-cause transactions, mimicking and exceeding the analytical capabilities of expert fund accountants. The system uses a layered agent architecture with GraphRAG-powered knowledge of fund accounting rules, transaction lineage, and historical break patterns to deliver automated root-cause analysis with explainable reasoning.</w:t>
      </w:r>
    </w:p>
    <w:p>
      <w:pPr>
        <w:pStyle w:val="Heading2"/>
      </w:pPr>
      <w:r>
        <w:t xml:space="preserve">1.3 Key Value Propositions</w:t>
      </w:r>
    </w:p>
    <w:p>
      <w:pPr>
        <w:pStyle w:val="ListParagraph"/>
        <w:numPr>
          <w:ilvl w:val="0"/>
          <w:numId w:val="2"/>
        </w:numPr>
        <w:spacing w:after="60"/>
      </w:pPr>
      <w:r>
        <w:rPr>
          <w:rFonts w:ascii="Arial" w:cs="Arial" w:eastAsia="Arial" w:hAnsi="Arial"/>
          <w:sz w:val="22"/>
          <w:szCs w:val="22"/>
        </w:rPr>
        <w:t xml:space="preserve">Reduce root-cause analysis time from hours to minutes per fund per NAV cycle</w:t>
      </w:r>
    </w:p>
    <w:p>
      <w:pPr>
        <w:pStyle w:val="ListParagraph"/>
        <w:numPr>
          <w:ilvl w:val="0"/>
          <w:numId w:val="2"/>
        </w:numPr>
        <w:spacing w:after="60"/>
      </w:pPr>
      <w:r>
        <w:rPr>
          <w:rFonts w:ascii="Arial" w:cs="Arial" w:eastAsia="Arial" w:hAnsi="Arial"/>
          <w:sz w:val="22"/>
          <w:szCs w:val="22"/>
        </w:rPr>
        <w:t xml:space="preserve">Provide auditable, explainable reasoning chains for every identified break cause</w:t>
      </w:r>
    </w:p>
    <w:p>
      <w:pPr>
        <w:pStyle w:val="ListParagraph"/>
        <w:numPr>
          <w:ilvl w:val="0"/>
          <w:numId w:val="2"/>
        </w:numPr>
        <w:spacing w:after="60"/>
      </w:pPr>
      <w:r>
        <w:rPr>
          <w:rFonts w:ascii="Arial" w:cs="Arial" w:eastAsia="Arial" w:hAnsi="Arial"/>
          <w:sz w:val="22"/>
          <w:szCs w:val="22"/>
        </w:rPr>
        <w:t xml:space="preserve">Build institutional memory of break patterns through GraphRAG knowledge accumulation</w:t>
      </w:r>
    </w:p>
    <w:p>
      <w:pPr>
        <w:pStyle w:val="ListParagraph"/>
        <w:numPr>
          <w:ilvl w:val="0"/>
          <w:numId w:val="2"/>
        </w:numPr>
        <w:spacing w:after="60"/>
      </w:pPr>
      <w:r>
        <w:rPr>
          <w:rFonts w:ascii="Arial" w:cs="Arial" w:eastAsia="Arial" w:hAnsi="Arial"/>
          <w:sz w:val="22"/>
          <w:szCs w:val="22"/>
        </w:rPr>
        <w:t xml:space="preserve">Enable proactive break prediction based on transaction pattern recognition</w:t>
      </w:r>
    </w:p>
    <w:p>
      <w:pPr>
        <w:pStyle w:val="ListParagraph"/>
        <w:numPr>
          <w:ilvl w:val="0"/>
          <w:numId w:val="2"/>
        </w:numPr>
        <w:spacing w:after="60"/>
      </w:pPr>
      <w:r>
        <w:rPr>
          <w:rFonts w:ascii="Arial" w:cs="Arial" w:eastAsia="Arial" w:hAnsi="Arial"/>
          <w:sz w:val="22"/>
          <w:szCs w:val="22"/>
        </w:rPr>
        <w:t xml:space="preserve">Scale analysis capacity linearly without proportional headcount increase</w:t>
      </w:r>
    </w:p>
    <w:p>
      <w:r>
        <w:br w:type="page"/>
      </w:r>
    </w:p>
    <w:p>
      <w:pPr>
        <w:pStyle w:val="Heading1"/>
      </w:pPr>
      <w:r>
        <w:t xml:space="preserve">2. Multi-Level Reconciliation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D4A84B" w:sz="3"/>
              <w:right w:val="none" w:sz="0"/>
            </w:tcBorders>
          </w:tcPr>
          <w:p>
            <w:pPr>
              <w:spacing w:after="0"/>
            </w:pPr>
          </w:p>
        </w:tc>
      </w:tr>
    </w:tbl>
    <w:p>
      <w:pPr>
        <w:spacing w:after="100"/>
      </w:pPr>
    </w:p>
    <w:p>
      <w:pPr>
        <w:pStyle w:val="Heading2"/>
      </w:pPr>
      <w:r>
        <w:t xml:space="preserve">2.1 The Reconciliation Hierarchy</w:t>
      </w:r>
    </w:p>
    <w:p>
      <w:pPr>
        <w:spacing w:after="120"/>
      </w:pPr>
      <w:r>
        <w:t xml:space="preserve">The system implements a four-level reconciliation hierarchy, each level progressively narrowing the search space for root causes. This mirrors how an experienced fund accountant mentally drills into a NAV break.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200"/>
        <w:gridCol w:w="3160"/>
      </w:tblGrid>
      <w:tr>
        <w:tc>
          <w:tcPr>
            <w:tcW w:type="dxa" w:w="1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1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Reconciles</w:t>
            </w:r>
          </w:p>
        </w:tc>
        <w:tc>
          <w:tcPr>
            <w:tcW w:type="dxa" w:w="31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Break Indicators</w:t>
            </w:r>
          </w:p>
        </w:tc>
      </w:tr>
      <w:tr>
        <w:tc>
          <w:tcPr>
            <w:tcW w:type="dxa" w:w="1200"/>
            <w:tcBorders>
              <w:top w:val="single" w:color="D1D5DB" w:sz="1"/>
              <w:left w:val="single" w:color="D1D5DB" w:sz="1"/>
              <w:bottom w:val="single" w:color="D1D5DB" w:sz="1"/>
              <w:right w:val="single" w:color="D1D5DB" w:sz="1"/>
            </w:tcBorders>
            <w:shd w:fill="E8EFF8" w:color="auto" w:val="clear"/>
            <w:tcMar>
              <w:top w:type="dxa" w:w="80"/>
              <w:left w:type="dxa" w:w="120"/>
              <w:bottom w:type="dxa" w:w="80"/>
              <w:right w:type="dxa" w:w="120"/>
            </w:tcMar>
            <w:vAlign w:val="center"/>
          </w:tcPr>
          <w:p>
            <w:r>
              <w:rPr>
                <w:rFonts w:ascii="Arial" w:cs="Arial" w:eastAsia="Arial" w:hAnsi="Arial"/>
                <w:b/>
                <w:bCs/>
                <w:sz w:val="20"/>
                <w:szCs w:val="20"/>
                <w:shd w:val="clear"/>
              </w:rPr>
              <w:t xml:space="preserve">L0</w:t>
            </w:r>
          </w:p>
        </w:tc>
        <w:tc>
          <w:tcPr>
            <w:tcW w:type="dxa" w:w="1800"/>
            <w:tcBorders>
              <w:top w:val="single" w:color="D1D5DB" w:sz="1"/>
              <w:left w:val="single" w:color="D1D5DB" w:sz="1"/>
              <w:bottom w:val="single" w:color="D1D5DB" w:sz="1"/>
              <w:right w:val="single" w:color="D1D5DB" w:sz="1"/>
            </w:tcBorders>
            <w:shd w:fill="E8EFF8" w:color="auto" w:val="clear"/>
            <w:tcMar>
              <w:top w:type="dxa" w:w="80"/>
              <w:left w:type="dxa" w:w="120"/>
              <w:bottom w:type="dxa" w:w="80"/>
              <w:right w:type="dxa" w:w="120"/>
            </w:tcMar>
            <w:vAlign w:val="center"/>
          </w:tcPr>
          <w:p>
            <w:r>
              <w:rPr>
                <w:rFonts w:ascii="Arial" w:cs="Arial" w:eastAsia="Arial" w:hAnsi="Arial"/>
                <w:sz w:val="20"/>
                <w:szCs w:val="20"/>
                <w:shd w:val="clear"/>
              </w:rPr>
              <w:t xml:space="preserve">NAV</w:t>
            </w:r>
          </w:p>
        </w:tc>
        <w:tc>
          <w:tcPr>
            <w:tcW w:type="dxa" w:w="3200"/>
            <w:tcBorders>
              <w:top w:val="single" w:color="D1D5DB" w:sz="1"/>
              <w:left w:val="single" w:color="D1D5DB" w:sz="1"/>
              <w:bottom w:val="single" w:color="D1D5DB" w:sz="1"/>
              <w:right w:val="single" w:color="D1D5DB" w:sz="1"/>
            </w:tcBorders>
            <w:shd w:fill="E8EFF8" w:color="auto" w:val="clear"/>
            <w:tcMar>
              <w:top w:type="dxa" w:w="80"/>
              <w:left w:type="dxa" w:w="120"/>
              <w:bottom w:type="dxa" w:w="80"/>
              <w:right w:type="dxa" w:w="120"/>
            </w:tcMar>
            <w:vAlign w:val="center"/>
          </w:tcPr>
          <w:p>
            <w:r>
              <w:rPr>
                <w:rFonts w:ascii="Arial" w:cs="Arial" w:eastAsia="Arial" w:hAnsi="Arial"/>
                <w:sz w:val="20"/>
                <w:szCs w:val="20"/>
                <w:shd w:val="clear"/>
              </w:rPr>
              <w:t xml:space="preserve">Published NAV (CPU) vs Incumbent NAV per fund/share class</w:t>
            </w:r>
          </w:p>
        </w:tc>
        <w:tc>
          <w:tcPr>
            <w:tcW w:type="dxa" w:w="3160"/>
            <w:tcBorders>
              <w:top w:val="single" w:color="D1D5DB" w:sz="1"/>
              <w:left w:val="single" w:color="D1D5DB" w:sz="1"/>
              <w:bottom w:val="single" w:color="D1D5DB" w:sz="1"/>
              <w:right w:val="single" w:color="D1D5DB" w:sz="1"/>
            </w:tcBorders>
            <w:shd w:fill="E8EFF8" w:color="auto" w:val="clear"/>
            <w:tcMar>
              <w:top w:type="dxa" w:w="80"/>
              <w:left w:type="dxa" w:w="120"/>
              <w:bottom w:type="dxa" w:w="80"/>
              <w:right w:type="dxa" w:w="120"/>
            </w:tcMar>
            <w:vAlign w:val="center"/>
          </w:tcPr>
          <w:p>
            <w:r>
              <w:rPr>
                <w:rFonts w:ascii="Arial" w:cs="Arial" w:eastAsia="Arial" w:hAnsi="Arial"/>
                <w:sz w:val="20"/>
                <w:szCs w:val="20"/>
                <w:shd w:val="clear"/>
              </w:rPr>
              <w:t xml:space="preserve">Absolute &amp; relative variance, materiality thresholds</w:t>
            </w:r>
          </w:p>
        </w:tc>
      </w:tr>
      <w:tr>
        <w:tc>
          <w:tcPr>
            <w:tcW w:type="dxa" w:w="1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b/>
                <w:bCs/>
                <w:sz w:val="20"/>
                <w:szCs w:val="20"/>
              </w:rPr>
              <w:t xml:space="preserve">L1</w:t>
            </w:r>
          </w:p>
        </w:tc>
        <w:tc>
          <w:tcPr>
            <w:tcW w:type="dxa" w:w="18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General Ledger</w:t>
            </w:r>
          </w:p>
        </w:tc>
        <w:tc>
          <w:tcPr>
            <w:tcW w:type="dxa" w:w="3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GL account balances: Assets, Liabilities, Income, Expense aggregates</w:t>
            </w:r>
          </w:p>
        </w:tc>
        <w:tc>
          <w:tcPr>
            <w:tcW w:type="dxa" w:w="31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Account-level variances mapped to NAV components</w:t>
            </w:r>
          </w:p>
        </w:tc>
      </w:tr>
      <w:tr>
        <w:tc>
          <w:tcPr>
            <w:tcW w:type="dxa" w:w="1200"/>
            <w:tcBorders>
              <w:top w:val="single" w:color="D1D5DB" w:sz="1"/>
              <w:left w:val="single" w:color="D1D5DB" w:sz="1"/>
              <w:bottom w:val="single" w:color="D1D5DB" w:sz="1"/>
              <w:right w:val="single" w:color="D1D5DB" w:sz="1"/>
            </w:tcBorders>
            <w:shd w:fill="E8EFF8" w:color="auto" w:val="clear"/>
            <w:tcMar>
              <w:top w:type="dxa" w:w="80"/>
              <w:left w:type="dxa" w:w="120"/>
              <w:bottom w:type="dxa" w:w="80"/>
              <w:right w:type="dxa" w:w="120"/>
            </w:tcMar>
            <w:vAlign w:val="center"/>
          </w:tcPr>
          <w:p>
            <w:r>
              <w:rPr>
                <w:rFonts w:ascii="Arial" w:cs="Arial" w:eastAsia="Arial" w:hAnsi="Arial"/>
                <w:b/>
                <w:bCs/>
                <w:sz w:val="20"/>
                <w:szCs w:val="20"/>
                <w:shd w:val="clear"/>
              </w:rPr>
              <w:t xml:space="preserve">L2</w:t>
            </w:r>
          </w:p>
        </w:tc>
        <w:tc>
          <w:tcPr>
            <w:tcW w:type="dxa" w:w="1800"/>
            <w:tcBorders>
              <w:top w:val="single" w:color="D1D5DB" w:sz="1"/>
              <w:left w:val="single" w:color="D1D5DB" w:sz="1"/>
              <w:bottom w:val="single" w:color="D1D5DB" w:sz="1"/>
              <w:right w:val="single" w:color="D1D5DB" w:sz="1"/>
            </w:tcBorders>
            <w:shd w:fill="E8EFF8" w:color="auto" w:val="clear"/>
            <w:tcMar>
              <w:top w:type="dxa" w:w="80"/>
              <w:left w:type="dxa" w:w="120"/>
              <w:bottom w:type="dxa" w:w="80"/>
              <w:right w:type="dxa" w:w="120"/>
            </w:tcMar>
            <w:vAlign w:val="center"/>
          </w:tcPr>
          <w:p>
            <w:r>
              <w:rPr>
                <w:rFonts w:ascii="Arial" w:cs="Arial" w:eastAsia="Arial" w:hAnsi="Arial"/>
                <w:sz w:val="20"/>
                <w:szCs w:val="20"/>
                <w:shd w:val="clear"/>
              </w:rPr>
              <w:t xml:space="preserve">Sub-Ledger</w:t>
            </w:r>
          </w:p>
        </w:tc>
        <w:tc>
          <w:tcPr>
            <w:tcW w:type="dxa" w:w="3200"/>
            <w:tcBorders>
              <w:top w:val="single" w:color="D1D5DB" w:sz="1"/>
              <w:left w:val="single" w:color="D1D5DB" w:sz="1"/>
              <w:bottom w:val="single" w:color="D1D5DB" w:sz="1"/>
              <w:right w:val="single" w:color="D1D5DB" w:sz="1"/>
            </w:tcBorders>
            <w:shd w:fill="E8EFF8" w:color="auto" w:val="clear"/>
            <w:tcMar>
              <w:top w:type="dxa" w:w="80"/>
              <w:left w:type="dxa" w:w="120"/>
              <w:bottom w:type="dxa" w:w="80"/>
              <w:right w:type="dxa" w:w="120"/>
            </w:tcMar>
            <w:vAlign w:val="center"/>
          </w:tcPr>
          <w:p>
            <w:r>
              <w:rPr>
                <w:rFonts w:ascii="Arial" w:cs="Arial" w:eastAsia="Arial" w:hAnsi="Arial"/>
                <w:sz w:val="20"/>
                <w:szCs w:val="20"/>
                <w:shd w:val="clear"/>
              </w:rPr>
              <w:t xml:space="preserve">Position-level holdings, accruals, payables, receivables by security/counterparty</w:t>
            </w:r>
          </w:p>
        </w:tc>
        <w:tc>
          <w:tcPr>
            <w:tcW w:type="dxa" w:w="3160"/>
            <w:tcBorders>
              <w:top w:val="single" w:color="D1D5DB" w:sz="1"/>
              <w:left w:val="single" w:color="D1D5DB" w:sz="1"/>
              <w:bottom w:val="single" w:color="D1D5DB" w:sz="1"/>
              <w:right w:val="single" w:color="D1D5DB" w:sz="1"/>
            </w:tcBorders>
            <w:shd w:fill="E8EFF8" w:color="auto" w:val="clear"/>
            <w:tcMar>
              <w:top w:type="dxa" w:w="80"/>
              <w:left w:type="dxa" w:w="120"/>
              <w:bottom w:type="dxa" w:w="80"/>
              <w:right w:type="dxa" w:w="120"/>
            </w:tcMar>
            <w:vAlign w:val="center"/>
          </w:tcPr>
          <w:p>
            <w:r>
              <w:rPr>
                <w:rFonts w:ascii="Arial" w:cs="Arial" w:eastAsia="Arial" w:hAnsi="Arial"/>
                <w:sz w:val="20"/>
                <w:szCs w:val="20"/>
                <w:shd w:val="clear"/>
              </w:rPr>
              <w:t xml:space="preserve">Position breaks, accrual timing differences, lot-level variances</w:t>
            </w:r>
          </w:p>
        </w:tc>
      </w:tr>
      <w:tr>
        <w:tc>
          <w:tcPr>
            <w:tcW w:type="dxa" w:w="1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b/>
                <w:bCs/>
                <w:sz w:val="20"/>
                <w:szCs w:val="20"/>
              </w:rPr>
              <w:t xml:space="preserve">L3</w:t>
            </w:r>
          </w:p>
        </w:tc>
        <w:tc>
          <w:tcPr>
            <w:tcW w:type="dxa" w:w="18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Transaction</w:t>
            </w:r>
          </w:p>
        </w:tc>
        <w:tc>
          <w:tcPr>
            <w:tcW w:type="dxa" w:w="3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Individual trades, corporate actions, income events, expenses, cash movements</w:t>
            </w:r>
          </w:p>
        </w:tc>
        <w:tc>
          <w:tcPr>
            <w:tcW w:type="dxa" w:w="31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Missing/extra transactions, amount differences, booking date mismatches</w:t>
            </w:r>
          </w:p>
        </w:tc>
      </w:tr>
    </w:tbl>
    <w:p>
      <w:pPr>
        <w:spacing w:after="200"/>
      </w:pPr>
    </w:p>
    <w:p>
      <w:pPr>
        <w:pStyle w:val="Heading2"/>
      </w:pPr>
      <w:r>
        <w:t xml:space="preserve">2.2 Drill-Down Logic Flow</w:t>
      </w:r>
    </w:p>
    <w:p>
      <w:pPr>
        <w:spacing w:after="120"/>
      </w:pPr>
      <w:r>
        <w:t xml:space="preserve">The reconciliation agent follows a systematic drill-down pattern that progressively narrows the root-cause search space: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sz="0"/>
              <w:left w:val="none" w:sz="0"/>
              <w:bottom w:val="none" w:sz="0"/>
              <w:right w:val="none" w:sz="0"/>
            </w:tcBorders>
            <w:shd w:fill="C0392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L0</w:t>
            </w:r>
          </w:p>
        </w:tc>
        <w:tc>
          <w:tcPr>
            <w:tcW w:type="dxa" w:w="8760"/>
            <w:tcBorders>
              <w:top w:val="none" w:sz="0"/>
              <w:left w:val="none" w:sz="0"/>
              <w:bottom w:val="single" w:color="E5E7EB" w:sz="1"/>
              <w:right w:val="none" w:sz="0"/>
            </w:tcBorders>
            <w:tcMar>
              <w:top w:type="dxa" w:w="100"/>
              <w:left w:type="dxa" w:w="160"/>
              <w:bottom w:type="dxa" w:w="100"/>
              <w:right w:type="dxa" w:w="160"/>
            </w:tcMar>
          </w:tcPr>
          <w:p>
            <w:r>
              <w:rPr>
                <w:rFonts w:ascii="Arial" w:cs="Arial" w:eastAsia="Arial" w:hAnsi="Arial"/>
                <w:b/>
                <w:bCs/>
                <w:sz w:val="22"/>
                <w:szCs w:val="22"/>
              </w:rPr>
              <w:t xml:space="preserve">NAV Comparison: </w:t>
            </w:r>
            <w:r>
              <w:rPr>
                <w:rFonts w:ascii="Arial" w:cs="Arial" w:eastAsia="Arial" w:hAnsi="Arial"/>
                <w:sz w:val="22"/>
                <w:szCs w:val="22"/>
              </w:rPr>
              <w:t xml:space="preserve">Detect NAV variance &gt; materiality threshold (e.g., $0.005/share). Classify: income-driven, expense-driven, position-driven, or capital activity-driven.</w:t>
            </w:r>
          </w:p>
        </w:tc>
      </w:tr>
      <w:tr>
        <w:tc>
          <w:tcPr>
            <w:tcW w:type="dxa" w:w="600"/>
            <w:tcBorders>
              <w:top w:val="none" w:sz="0"/>
              <w:left w:val="none" w:sz="0"/>
              <w:bottom w:val="none" w:sz="0"/>
              <w:right w:val="none" w:sz="0"/>
            </w:tcBorders>
            <w:shd w:fill="E67E2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L1</w:t>
            </w:r>
          </w:p>
        </w:tc>
        <w:tc>
          <w:tcPr>
            <w:tcW w:type="dxa" w:w="8760"/>
            <w:tcBorders>
              <w:top w:val="none" w:sz="0"/>
              <w:left w:val="none" w:sz="0"/>
              <w:bottom w:val="single" w:color="E5E7EB" w:sz="1"/>
              <w:right w:val="none" w:sz="0"/>
            </w:tcBorders>
            <w:tcMar>
              <w:top w:type="dxa" w:w="100"/>
              <w:left w:type="dxa" w:w="160"/>
              <w:bottom w:type="dxa" w:w="100"/>
              <w:right w:type="dxa" w:w="160"/>
            </w:tcMar>
          </w:tcPr>
          <w:p>
            <w:r>
              <w:rPr>
                <w:rFonts w:ascii="Arial" w:cs="Arial" w:eastAsia="Arial" w:hAnsi="Arial"/>
                <w:b/>
                <w:bCs/>
                <w:sz w:val="22"/>
                <w:szCs w:val="22"/>
              </w:rPr>
              <w:t xml:space="preserve">GL Decomposition: </w:t>
            </w:r>
            <w:r>
              <w:rPr>
                <w:rFonts w:ascii="Arial" w:cs="Arial" w:eastAsia="Arial" w:hAnsi="Arial"/>
                <w:sz w:val="22"/>
                <w:szCs w:val="22"/>
              </w:rPr>
              <w:t xml:space="preserve">Break NAV into component GL buckets (Investment at Market Value, Accrued Income, Payables, Receivables, etc.). Identify which GL categories contribute to the total variance.</w:t>
            </w:r>
          </w:p>
        </w:tc>
      </w:tr>
      <w:tr>
        <w:tc>
          <w:tcPr>
            <w:tcW w:type="dxa" w:w="600"/>
            <w:tcBorders>
              <w:top w:val="none" w:sz="0"/>
              <w:left w:val="none" w:sz="0"/>
              <w:bottom w:val="none" w:sz="0"/>
              <w:right w:val="none" w:sz="0"/>
            </w:tcBorders>
            <w:shd w:fill="D4A84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L2</w:t>
            </w:r>
          </w:p>
        </w:tc>
        <w:tc>
          <w:tcPr>
            <w:tcW w:type="dxa" w:w="8760"/>
            <w:tcBorders>
              <w:top w:val="none" w:sz="0"/>
              <w:left w:val="none" w:sz="0"/>
              <w:bottom w:val="single" w:color="E5E7EB" w:sz="1"/>
              <w:right w:val="none" w:sz="0"/>
            </w:tcBorders>
            <w:tcMar>
              <w:top w:type="dxa" w:w="100"/>
              <w:left w:type="dxa" w:w="160"/>
              <w:bottom w:type="dxa" w:w="100"/>
              <w:right w:type="dxa" w:w="160"/>
            </w:tcMar>
          </w:tcPr>
          <w:p>
            <w:r>
              <w:rPr>
                <w:rFonts w:ascii="Arial" w:cs="Arial" w:eastAsia="Arial" w:hAnsi="Arial"/>
                <w:b/>
                <w:bCs/>
                <w:sz w:val="22"/>
                <w:szCs w:val="22"/>
              </w:rPr>
              <w:t xml:space="preserve">Sub-Ledger Drill: </w:t>
            </w:r>
            <w:r>
              <w:rPr>
                <w:rFonts w:ascii="Arial" w:cs="Arial" w:eastAsia="Arial" w:hAnsi="Arial"/>
                <w:sz w:val="22"/>
                <w:szCs w:val="22"/>
              </w:rPr>
              <w:t xml:space="preserve">Within each breaking GL bucket, drill into sub-ledger positions. Compare security-by-security holdings, lot-level cost bases, accrual schedules, and counterparty balances.</w:t>
            </w:r>
          </w:p>
        </w:tc>
      </w:tr>
      <w:tr>
        <w:tc>
          <w:tcPr>
            <w:tcW w:type="dxa" w:w="600"/>
            <w:tcBorders>
              <w:top w:val="none" w:sz="0"/>
              <w:left w:val="none" w:sz="0"/>
              <w:bottom w:val="none" w:sz="0"/>
              <w:right w:val="none" w:sz="0"/>
            </w:tcBorders>
            <w:shd w:fill="2D7D4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L3</w:t>
            </w:r>
          </w:p>
        </w:tc>
        <w:tc>
          <w:tcPr>
            <w:tcW w:type="dxa" w:w="8760"/>
            <w:tcBorders>
              <w:top w:val="none" w:sz="0"/>
              <w:left w:val="none" w:sz="0"/>
              <w:bottom w:val="none" w:sz="0"/>
              <w:right w:val="none" w:sz="0"/>
            </w:tcBorders>
            <w:tcMar>
              <w:top w:type="dxa" w:w="100"/>
              <w:left w:type="dxa" w:w="160"/>
              <w:bottom w:type="dxa" w:w="100"/>
              <w:right w:type="dxa" w:w="160"/>
            </w:tcMar>
          </w:tcPr>
          <w:p>
            <w:r>
              <w:rPr>
                <w:rFonts w:ascii="Arial" w:cs="Arial" w:eastAsia="Arial" w:hAnsi="Arial"/>
                <w:b/>
                <w:bCs/>
                <w:sz w:val="22"/>
                <w:szCs w:val="22"/>
              </w:rPr>
              <w:t xml:space="preserve">Transaction Forensics: </w:t>
            </w:r>
            <w:r>
              <w:rPr>
                <w:rFonts w:ascii="Arial" w:cs="Arial" w:eastAsia="Arial" w:hAnsi="Arial"/>
                <w:sz w:val="22"/>
                <w:szCs w:val="22"/>
              </w:rPr>
              <w:t xml:space="preserve">Within breaking sub-ledger positions, isolate individual transactions: missing/orphan trades, corporate action processing differences, income calculation variances, FX rate discrepancies, or booking date mismatches.</w:t>
            </w:r>
          </w:p>
        </w:tc>
      </w:tr>
    </w:tbl>
    <w:p>
      <w:pPr>
        <w:spacing w:after="200"/>
      </w:pPr>
    </w:p>
    <w:p>
      <w:pPr>
        <w:pStyle w:val="Heading2"/>
      </w:pPr>
      <w:r>
        <w:t xml:space="preserve">2.3 Break Classification Taxonomy</w:t>
      </w:r>
    </w:p>
    <w:p>
      <w:pPr>
        <w:spacing w:after="120"/>
      </w:pPr>
      <w:r>
        <w:t xml:space="preserve">The agent classifies every identified break into a taxonomy that drives both resolution workflow and knowledge accumulation: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Sub-Category</w:t>
            </w:r>
          </w:p>
        </w:tc>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c>
          <w:tcPr>
            <w:tcW w:type="dxa" w:w="2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Typical Root Cause</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b/>
                <w:bCs/>
                <w:sz w:val="20"/>
                <w:szCs w:val="20"/>
              </w:rPr>
              <w:t xml:space="preserve">Timing</w:t>
            </w:r>
          </w:p>
        </w:tc>
        <w:tc>
          <w:tcPr>
            <w:tcW w:type="dxa" w:w="2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Trade Date vs Settlement Date</w:t>
            </w:r>
          </w:p>
        </w:tc>
        <w:tc>
          <w:tcPr>
            <w:tcW w:type="dxa" w:w="2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Bond trade booked T+1 vs T+2</w:t>
            </w:r>
          </w:p>
        </w:tc>
        <w:tc>
          <w:tcPr>
            <w:tcW w:type="dxa" w:w="23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Settlement convention mismatch</w:t>
            </w:r>
          </w:p>
        </w:tc>
      </w:tr>
      <w:tr>
        <w:tc>
          <w:tcPr>
            <w:tcW w:type="dxa" w:w="220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b/>
                <w:bCs/>
                <w:sz w:val="20"/>
                <w:szCs w:val="20"/>
                <w:shd w:val="clear"/>
              </w:rPr>
              <w:t xml:space="preserve">Methodology</w:t>
            </w:r>
          </w:p>
        </w:tc>
        <w:tc>
          <w:tcPr>
            <w:tcW w:type="dxa" w:w="240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sz w:val="20"/>
                <w:szCs w:val="20"/>
                <w:shd w:val="clear"/>
              </w:rPr>
              <w:t xml:space="preserve">Accrual Calculation</w:t>
            </w:r>
          </w:p>
        </w:tc>
        <w:tc>
          <w:tcPr>
            <w:tcW w:type="dxa" w:w="240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sz w:val="20"/>
                <w:szCs w:val="20"/>
                <w:shd w:val="clear"/>
              </w:rPr>
              <w:t xml:space="preserve">30/360 vs ACT/ACT day count</w:t>
            </w:r>
          </w:p>
        </w:tc>
        <w:tc>
          <w:tcPr>
            <w:tcW w:type="dxa" w:w="236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sz w:val="20"/>
                <w:szCs w:val="20"/>
                <w:shd w:val="clear"/>
              </w:rPr>
              <w:t xml:space="preserve">Day count convention difference</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b/>
                <w:bCs/>
                <w:sz w:val="20"/>
                <w:szCs w:val="20"/>
              </w:rPr>
              <w:t xml:space="preserve">Data</w:t>
            </w:r>
          </w:p>
        </w:tc>
        <w:tc>
          <w:tcPr>
            <w:tcW w:type="dxa" w:w="2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Missing Transaction</w:t>
            </w:r>
          </w:p>
        </w:tc>
        <w:tc>
          <w:tcPr>
            <w:tcW w:type="dxa" w:w="2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Corporate action not processed</w:t>
            </w:r>
          </w:p>
        </w:tc>
        <w:tc>
          <w:tcPr>
            <w:tcW w:type="dxa" w:w="23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Event feed latency or filtering</w:t>
            </w:r>
          </w:p>
        </w:tc>
      </w:tr>
      <w:tr>
        <w:tc>
          <w:tcPr>
            <w:tcW w:type="dxa" w:w="220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b/>
                <w:bCs/>
                <w:sz w:val="20"/>
                <w:szCs w:val="20"/>
                <w:shd w:val="clear"/>
              </w:rPr>
              <w:t xml:space="preserve">Pricing</w:t>
            </w:r>
          </w:p>
        </w:tc>
        <w:tc>
          <w:tcPr>
            <w:tcW w:type="dxa" w:w="240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sz w:val="20"/>
                <w:szCs w:val="20"/>
                <w:shd w:val="clear"/>
              </w:rPr>
              <w:t xml:space="preserve">Market Value</w:t>
            </w:r>
          </w:p>
        </w:tc>
        <w:tc>
          <w:tcPr>
            <w:tcW w:type="dxa" w:w="240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sz w:val="20"/>
                <w:szCs w:val="20"/>
                <w:shd w:val="clear"/>
              </w:rPr>
              <w:t xml:space="preserve">Security priced at $99.50 vs $99.75</w:t>
            </w:r>
          </w:p>
        </w:tc>
        <w:tc>
          <w:tcPr>
            <w:tcW w:type="dxa" w:w="236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sz w:val="20"/>
                <w:szCs w:val="20"/>
                <w:shd w:val="clear"/>
              </w:rPr>
              <w:t xml:space="preserve">Pricing source or snap time diff</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b/>
                <w:bCs/>
                <w:sz w:val="20"/>
                <w:szCs w:val="20"/>
              </w:rPr>
              <w:t xml:space="preserve">Configuration</w:t>
            </w:r>
          </w:p>
        </w:tc>
        <w:tc>
          <w:tcPr>
            <w:tcW w:type="dxa" w:w="2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GL Mapping</w:t>
            </w:r>
          </w:p>
        </w:tc>
        <w:tc>
          <w:tcPr>
            <w:tcW w:type="dxa" w:w="2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Expense posted to wrong GL code</w:t>
            </w:r>
          </w:p>
        </w:tc>
        <w:tc>
          <w:tcPr>
            <w:tcW w:type="dxa" w:w="23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Chart of accounts mapping gap</w:t>
            </w:r>
          </w:p>
        </w:tc>
      </w:tr>
      <w:tr>
        <w:tc>
          <w:tcPr>
            <w:tcW w:type="dxa" w:w="220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b/>
                <w:bCs/>
                <w:sz w:val="20"/>
                <w:szCs w:val="20"/>
                <w:shd w:val="clear"/>
              </w:rPr>
              <w:t xml:space="preserve">Rounding</w:t>
            </w:r>
          </w:p>
        </w:tc>
        <w:tc>
          <w:tcPr>
            <w:tcW w:type="dxa" w:w="240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sz w:val="20"/>
                <w:szCs w:val="20"/>
                <w:shd w:val="clear"/>
              </w:rPr>
              <w:t xml:space="preserve">Share Calculation</w:t>
            </w:r>
          </w:p>
        </w:tc>
        <w:tc>
          <w:tcPr>
            <w:tcW w:type="dxa" w:w="240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sz w:val="20"/>
                <w:szCs w:val="20"/>
                <w:shd w:val="clear"/>
              </w:rPr>
              <w:t xml:space="preserve">Penny difference in share balance</w:t>
            </w:r>
          </w:p>
        </w:tc>
        <w:tc>
          <w:tcPr>
            <w:tcW w:type="dxa" w:w="236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sz w:val="20"/>
                <w:szCs w:val="20"/>
                <w:shd w:val="clear"/>
              </w:rPr>
              <w:t xml:space="preserve">Rounding rule difference</w:t>
            </w:r>
          </w:p>
        </w:tc>
      </w:tr>
    </w:tbl>
    <w:p>
      <w:r>
        <w:br w:type="page"/>
      </w:r>
    </w:p>
    <w:p>
      <w:pPr>
        <w:pStyle w:val="Heading1"/>
      </w:pPr>
      <w:r>
        <w:t xml:space="preserve">3.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D4A84B" w:sz="3"/>
              <w:right w:val="none" w:sz="0"/>
            </w:tcBorders>
          </w:tcPr>
          <w:p>
            <w:pPr>
              <w:spacing w:after="0"/>
            </w:pPr>
          </w:p>
        </w:tc>
      </w:tr>
    </w:tbl>
    <w:p>
      <w:pPr>
        <w:spacing w:after="100"/>
      </w:pPr>
    </w:p>
    <w:p>
      <w:pPr>
        <w:pStyle w:val="Heading2"/>
      </w:pPr>
      <w:r>
        <w:t xml:space="preserve">3.1 High-Level Architecture</w:t>
      </w:r>
    </w:p>
    <w:p>
      <w:pPr>
        <w:spacing w:after="120"/>
      </w:pPr>
      <w:r>
        <w:t xml:space="preserve">RECON-AI is composed of five architectural tiers, each with distinct responsibilities. The system follows an event-driven, agent-orchestrated pattern aligned with the OpenRudder framework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35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Components</w:t>
            </w:r>
          </w:p>
        </w:tc>
        <w:tc>
          <w:tcPr>
            <w:tcW w:type="dxa" w:w="38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r>
      <w:tr>
        <w:tc>
          <w:tcPr>
            <w:tcW w:type="dxa" w:w="2000"/>
            <w:tcBorders>
              <w:top w:val="single" w:color="D1D5DB" w:sz="1"/>
              <w:left w:val="single" w:color="D1D5DB" w:sz="1"/>
              <w:bottom w:val="single" w:color="D1D5DB" w:sz="1"/>
              <w:right w:val="single" w:color="D1D5DB" w:sz="1"/>
            </w:tcBorders>
            <w:shd w:fill="E8EFF8" w:color="auto" w:val="clear"/>
            <w:tcMar>
              <w:top w:type="dxa" w:w="80"/>
              <w:left w:type="dxa" w:w="120"/>
              <w:bottom w:type="dxa" w:w="80"/>
              <w:right w:type="dxa" w:w="120"/>
            </w:tcMar>
            <w:vAlign w:val="center"/>
          </w:tcPr>
          <w:p>
            <w:r>
              <w:rPr>
                <w:rFonts w:ascii="Arial" w:cs="Arial" w:eastAsia="Arial" w:hAnsi="Arial"/>
                <w:b/>
                <w:bCs/>
                <w:sz w:val="20"/>
                <w:szCs w:val="20"/>
                <w:shd w:val="clear"/>
              </w:rPr>
              <w:t xml:space="preserve">1. Data Ingestion</w:t>
            </w:r>
          </w:p>
        </w:tc>
        <w:tc>
          <w:tcPr>
            <w:tcW w:type="dxa" w:w="3500"/>
            <w:tcBorders>
              <w:top w:val="single" w:color="D1D5DB" w:sz="1"/>
              <w:left w:val="single" w:color="D1D5DB" w:sz="1"/>
              <w:bottom w:val="single" w:color="D1D5DB" w:sz="1"/>
              <w:right w:val="single" w:color="D1D5DB" w:sz="1"/>
            </w:tcBorders>
            <w:shd w:fill="E8EFF8" w:color="auto" w:val="clear"/>
            <w:tcMar>
              <w:top w:type="dxa" w:w="80"/>
              <w:left w:type="dxa" w:w="120"/>
              <w:bottom w:type="dxa" w:w="80"/>
              <w:right w:type="dxa" w:w="120"/>
            </w:tcMar>
            <w:vAlign w:val="center"/>
          </w:tcPr>
          <w:p>
            <w:r>
              <w:rPr>
                <w:rFonts w:ascii="Arial" w:cs="Arial" w:eastAsia="Arial" w:hAnsi="Arial"/>
                <w:sz w:val="20"/>
                <w:szCs w:val="20"/>
                <w:shd w:val="clear"/>
              </w:rPr>
              <w:t xml:space="preserve">Event Listeners, File Parsers, API Connectors</w:t>
            </w:r>
          </w:p>
        </w:tc>
        <w:tc>
          <w:tcPr>
            <w:tcW w:type="dxa" w:w="3860"/>
            <w:tcBorders>
              <w:top w:val="single" w:color="D1D5DB" w:sz="1"/>
              <w:left w:val="single" w:color="D1D5DB" w:sz="1"/>
              <w:bottom w:val="single" w:color="D1D5DB" w:sz="1"/>
              <w:right w:val="single" w:color="D1D5DB" w:sz="1"/>
            </w:tcBorders>
            <w:shd w:fill="E8EFF8" w:color="auto" w:val="clear"/>
            <w:tcMar>
              <w:top w:type="dxa" w:w="80"/>
              <w:left w:type="dxa" w:w="120"/>
              <w:bottom w:type="dxa" w:w="80"/>
              <w:right w:type="dxa" w:w="120"/>
            </w:tcMar>
            <w:vAlign w:val="center"/>
          </w:tcPr>
          <w:p>
            <w:r>
              <w:rPr>
                <w:rFonts w:ascii="Arial" w:cs="Arial" w:eastAsia="Arial" w:hAnsi="Arial"/>
                <w:sz w:val="20"/>
                <w:szCs w:val="20"/>
                <w:shd w:val="clear"/>
              </w:rPr>
              <w:t xml:space="preserve">Ingest NAV, GL, Sub-Ledger, and Transaction data from CPU and Incumbent systems</w:t>
            </w:r>
          </w:p>
        </w:tc>
      </w:tr>
      <w:tr>
        <w:tc>
          <w:tcPr>
            <w:tcW w:type="dxa" w:w="20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b/>
                <w:bCs/>
                <w:sz w:val="20"/>
                <w:szCs w:val="20"/>
              </w:rPr>
              <w:t xml:space="preserve">2. Knowledge Graph</w:t>
            </w:r>
          </w:p>
        </w:tc>
        <w:tc>
          <w:tcPr>
            <w:tcW w:type="dxa" w:w="35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GraphRAG Engine, Schema Store, Pattern Memory</w:t>
            </w:r>
          </w:p>
        </w:tc>
        <w:tc>
          <w:tcPr>
            <w:tcW w:type="dxa" w:w="38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Maintain fund accounting domain knowledge, transaction lineage, and historical break patterns</w:t>
            </w:r>
          </w:p>
        </w:tc>
      </w:tr>
      <w:tr>
        <w:tc>
          <w:tcPr>
            <w:tcW w:type="dxa" w:w="2000"/>
            <w:tcBorders>
              <w:top w:val="single" w:color="D1D5DB" w:sz="1"/>
              <w:left w:val="single" w:color="D1D5DB" w:sz="1"/>
              <w:bottom w:val="single" w:color="D1D5DB" w:sz="1"/>
              <w:right w:val="single" w:color="D1D5DB" w:sz="1"/>
            </w:tcBorders>
            <w:shd w:fill="E8EFF8" w:color="auto" w:val="clear"/>
            <w:tcMar>
              <w:top w:type="dxa" w:w="80"/>
              <w:left w:type="dxa" w:w="120"/>
              <w:bottom w:type="dxa" w:w="80"/>
              <w:right w:type="dxa" w:w="120"/>
            </w:tcMar>
            <w:vAlign w:val="center"/>
          </w:tcPr>
          <w:p>
            <w:r>
              <w:rPr>
                <w:rFonts w:ascii="Arial" w:cs="Arial" w:eastAsia="Arial" w:hAnsi="Arial"/>
                <w:b/>
                <w:bCs/>
                <w:sz w:val="20"/>
                <w:szCs w:val="20"/>
                <w:shd w:val="clear"/>
              </w:rPr>
              <w:t xml:space="preserve">3. Agent Orchestration</w:t>
            </w:r>
          </w:p>
        </w:tc>
        <w:tc>
          <w:tcPr>
            <w:tcW w:type="dxa" w:w="3500"/>
            <w:tcBorders>
              <w:top w:val="single" w:color="D1D5DB" w:sz="1"/>
              <w:left w:val="single" w:color="D1D5DB" w:sz="1"/>
              <w:bottom w:val="single" w:color="D1D5DB" w:sz="1"/>
              <w:right w:val="single" w:color="D1D5DB" w:sz="1"/>
            </w:tcBorders>
            <w:shd w:fill="E8EFF8" w:color="auto" w:val="clear"/>
            <w:tcMar>
              <w:top w:type="dxa" w:w="80"/>
              <w:left w:type="dxa" w:w="120"/>
              <w:bottom w:type="dxa" w:w="80"/>
              <w:right w:type="dxa" w:w="120"/>
            </w:tcMar>
            <w:vAlign w:val="center"/>
          </w:tcPr>
          <w:p>
            <w:r>
              <w:rPr>
                <w:rFonts w:ascii="Arial" w:cs="Arial" w:eastAsia="Arial" w:hAnsi="Arial"/>
                <w:sz w:val="20"/>
                <w:szCs w:val="20"/>
                <w:shd w:val="clear"/>
              </w:rPr>
              <w:t xml:space="preserve">Supervisor Agent, Level Agents (L0-L3), Specialist Agents</w:t>
            </w:r>
          </w:p>
        </w:tc>
        <w:tc>
          <w:tcPr>
            <w:tcW w:type="dxa" w:w="3860"/>
            <w:tcBorders>
              <w:top w:val="single" w:color="D1D5DB" w:sz="1"/>
              <w:left w:val="single" w:color="D1D5DB" w:sz="1"/>
              <w:bottom w:val="single" w:color="D1D5DB" w:sz="1"/>
              <w:right w:val="single" w:color="D1D5DB" w:sz="1"/>
            </w:tcBorders>
            <w:shd w:fill="E8EFF8" w:color="auto" w:val="clear"/>
            <w:tcMar>
              <w:top w:type="dxa" w:w="80"/>
              <w:left w:type="dxa" w:w="120"/>
              <w:bottom w:type="dxa" w:w="80"/>
              <w:right w:type="dxa" w:w="120"/>
            </w:tcMar>
            <w:vAlign w:val="center"/>
          </w:tcPr>
          <w:p>
            <w:r>
              <w:rPr>
                <w:rFonts w:ascii="Arial" w:cs="Arial" w:eastAsia="Arial" w:hAnsi="Arial"/>
                <w:sz w:val="20"/>
                <w:szCs w:val="20"/>
                <w:shd w:val="clear"/>
              </w:rPr>
              <w:t xml:space="preserve">Coordinate multi-level drill-down, delegate analysis, aggregate findings</w:t>
            </w:r>
          </w:p>
        </w:tc>
      </w:tr>
      <w:tr>
        <w:tc>
          <w:tcPr>
            <w:tcW w:type="dxa" w:w="20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b/>
                <w:bCs/>
                <w:sz w:val="20"/>
                <w:szCs w:val="20"/>
              </w:rPr>
              <w:t xml:space="preserve">4. Analysis Engine</w:t>
            </w:r>
          </w:p>
        </w:tc>
        <w:tc>
          <w:tcPr>
            <w:tcW w:type="dxa" w:w="35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Statistical Comparators, Rule Engine, ML Classifiers</w:t>
            </w:r>
          </w:p>
        </w:tc>
        <w:tc>
          <w:tcPr>
            <w:tcW w:type="dxa" w:w="38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Execute numerical comparisons, apply matching rules, classify break types</w:t>
            </w:r>
          </w:p>
        </w:tc>
      </w:tr>
      <w:tr>
        <w:tc>
          <w:tcPr>
            <w:tcW w:type="dxa" w:w="2000"/>
            <w:tcBorders>
              <w:top w:val="single" w:color="D1D5DB" w:sz="1"/>
              <w:left w:val="single" w:color="D1D5DB" w:sz="1"/>
              <w:bottom w:val="single" w:color="D1D5DB" w:sz="1"/>
              <w:right w:val="single" w:color="D1D5DB" w:sz="1"/>
            </w:tcBorders>
            <w:shd w:fill="E8EFF8" w:color="auto" w:val="clear"/>
            <w:tcMar>
              <w:top w:type="dxa" w:w="80"/>
              <w:left w:type="dxa" w:w="120"/>
              <w:bottom w:type="dxa" w:w="80"/>
              <w:right w:type="dxa" w:w="120"/>
            </w:tcMar>
            <w:vAlign w:val="center"/>
          </w:tcPr>
          <w:p>
            <w:r>
              <w:rPr>
                <w:rFonts w:ascii="Arial" w:cs="Arial" w:eastAsia="Arial" w:hAnsi="Arial"/>
                <w:b/>
                <w:bCs/>
                <w:sz w:val="20"/>
                <w:szCs w:val="20"/>
                <w:shd w:val="clear"/>
              </w:rPr>
              <w:t xml:space="preserve">5. Presentation</w:t>
            </w:r>
          </w:p>
        </w:tc>
        <w:tc>
          <w:tcPr>
            <w:tcW w:type="dxa" w:w="3500"/>
            <w:tcBorders>
              <w:top w:val="single" w:color="D1D5DB" w:sz="1"/>
              <w:left w:val="single" w:color="D1D5DB" w:sz="1"/>
              <w:bottom w:val="single" w:color="D1D5DB" w:sz="1"/>
              <w:right w:val="single" w:color="D1D5DB" w:sz="1"/>
            </w:tcBorders>
            <w:shd w:fill="E8EFF8" w:color="auto" w:val="clear"/>
            <w:tcMar>
              <w:top w:type="dxa" w:w="80"/>
              <w:left w:type="dxa" w:w="120"/>
              <w:bottom w:type="dxa" w:w="80"/>
              <w:right w:type="dxa" w:w="120"/>
            </w:tcMar>
            <w:vAlign w:val="center"/>
          </w:tcPr>
          <w:p>
            <w:r>
              <w:rPr>
                <w:rFonts w:ascii="Arial" w:cs="Arial" w:eastAsia="Arial" w:hAnsi="Arial"/>
                <w:sz w:val="20"/>
                <w:szCs w:val="20"/>
                <w:shd w:val="clear"/>
              </w:rPr>
              <w:t xml:space="preserve">Dashboard, Drill-Down Explorer, Report Generator</w:t>
            </w:r>
          </w:p>
        </w:tc>
        <w:tc>
          <w:tcPr>
            <w:tcW w:type="dxa" w:w="3860"/>
            <w:tcBorders>
              <w:top w:val="single" w:color="D1D5DB" w:sz="1"/>
              <w:left w:val="single" w:color="D1D5DB" w:sz="1"/>
              <w:bottom w:val="single" w:color="D1D5DB" w:sz="1"/>
              <w:right w:val="single" w:color="D1D5DB" w:sz="1"/>
            </w:tcBorders>
            <w:shd w:fill="E8EFF8" w:color="auto" w:val="clear"/>
            <w:tcMar>
              <w:top w:type="dxa" w:w="80"/>
              <w:left w:type="dxa" w:w="120"/>
              <w:bottom w:type="dxa" w:w="80"/>
              <w:right w:type="dxa" w:w="120"/>
            </w:tcMar>
            <w:vAlign w:val="center"/>
          </w:tcPr>
          <w:p>
            <w:r>
              <w:rPr>
                <w:rFonts w:ascii="Arial" w:cs="Arial" w:eastAsia="Arial" w:hAnsi="Arial"/>
                <w:sz w:val="20"/>
                <w:szCs w:val="20"/>
                <w:shd w:val="clear"/>
              </w:rPr>
              <w:t xml:space="preserve">Visualize findings, enable interactive exploration, produce audit-ready reports</w:t>
            </w:r>
          </w:p>
        </w:tc>
      </w:tr>
    </w:tbl>
    <w:p>
      <w:pPr>
        <w:spacing w:after="200"/>
      </w:pPr>
    </w:p>
    <w:p>
      <w:pPr>
        <w:pStyle w:val="Heading2"/>
      </w:pPr>
      <w:r>
        <w:t xml:space="preserve">3.2 Agent Architecture (Multi-Agent Orchestration)</w:t>
      </w:r>
    </w:p>
    <w:p>
      <w:pPr>
        <w:spacing w:after="120"/>
      </w:pPr>
      <w:r>
        <w:t xml:space="preserve">The system employs a hierarchical multi-agent architecture where a Supervisor Agent orchestrates specialized Level Agents, each responsible for one reconciliation tier. This design is inspired by LangGraph’s multi-agent patterns and adapted for the fund accounting domain.</w:t>
      </w:r>
    </w:p>
    <w:p>
      <w:pPr>
        <w:spacing w:after="100"/>
      </w:pPr>
    </w:p>
    <w:p>
      <w:pPr>
        <w:pStyle w:val="Heading3"/>
      </w:pPr>
      <w:r>
        <w:t xml:space="preserve">3.2.1 Supervisor Agent (Orchestrator)</w:t>
      </w:r>
    </w:p>
    <w:p>
      <w:pPr>
        <w:spacing w:after="120"/>
      </w:pPr>
      <w:r>
        <w:t xml:space="preserve">The Supervisor Agent serves as the central coordinator, managing the overall reconciliation workflow:</w:t>
      </w:r>
    </w:p>
    <w:p>
      <w:pPr>
        <w:pStyle w:val="ListParagraph"/>
        <w:numPr>
          <w:ilvl w:val="0"/>
          <w:numId w:val="3"/>
        </w:numPr>
        <w:spacing w:after="60"/>
      </w:pPr>
      <w:r>
        <w:rPr>
          <w:rFonts w:ascii="Arial" w:cs="Arial" w:eastAsia="Arial" w:hAnsi="Arial"/>
          <w:sz w:val="22"/>
          <w:szCs w:val="22"/>
        </w:rPr>
        <w:t xml:space="preserve">Receives NAV break alerts from the CPU reconciliation engine</w:t>
      </w:r>
    </w:p>
    <w:p>
      <w:pPr>
        <w:pStyle w:val="ListParagraph"/>
        <w:numPr>
          <w:ilvl w:val="0"/>
          <w:numId w:val="3"/>
        </w:numPr>
        <w:spacing w:after="60"/>
      </w:pPr>
      <w:r>
        <w:rPr>
          <w:rFonts w:ascii="Arial" w:cs="Arial" w:eastAsia="Arial" w:hAnsi="Arial"/>
          <w:sz w:val="22"/>
          <w:szCs w:val="22"/>
        </w:rPr>
        <w:t xml:space="preserve">Determines analysis strategy based on break magnitude, fund type, and historical patterns</w:t>
      </w:r>
    </w:p>
    <w:p>
      <w:pPr>
        <w:pStyle w:val="ListParagraph"/>
        <w:numPr>
          <w:ilvl w:val="0"/>
          <w:numId w:val="3"/>
        </w:numPr>
        <w:spacing w:after="60"/>
      </w:pPr>
      <w:r>
        <w:rPr>
          <w:rFonts w:ascii="Arial" w:cs="Arial" w:eastAsia="Arial" w:hAnsi="Arial"/>
          <w:sz w:val="22"/>
          <w:szCs w:val="22"/>
        </w:rPr>
        <w:t xml:space="preserve">Dispatches work to Level Agents in sequence (L0 → L1 → L2 → L3)</w:t>
      </w:r>
    </w:p>
    <w:p>
      <w:pPr>
        <w:pStyle w:val="ListParagraph"/>
        <w:numPr>
          <w:ilvl w:val="0"/>
          <w:numId w:val="3"/>
        </w:numPr>
        <w:spacing w:after="60"/>
      </w:pPr>
      <w:r>
        <w:rPr>
          <w:rFonts w:ascii="Arial" w:cs="Arial" w:eastAsia="Arial" w:hAnsi="Arial"/>
          <w:sz w:val="22"/>
          <w:szCs w:val="22"/>
        </w:rPr>
        <w:t xml:space="preserve">Aggregates findings into a coherent root-cause narrative</w:t>
      </w:r>
    </w:p>
    <w:p>
      <w:pPr>
        <w:pStyle w:val="ListParagraph"/>
        <w:numPr>
          <w:ilvl w:val="0"/>
          <w:numId w:val="3"/>
        </w:numPr>
        <w:spacing w:after="60"/>
      </w:pPr>
      <w:r>
        <w:rPr>
          <w:rFonts w:ascii="Arial" w:cs="Arial" w:eastAsia="Arial" w:hAnsi="Arial"/>
          <w:sz w:val="22"/>
          <w:szCs w:val="22"/>
        </w:rPr>
        <w:t xml:space="preserve">Manages agent state, conversation memory, and escalation decisions</w:t>
      </w:r>
    </w:p>
    <w:p>
      <w:pPr>
        <w:pStyle w:val="ListParagraph"/>
        <w:numPr>
          <w:ilvl w:val="0"/>
          <w:numId w:val="3"/>
        </w:numPr>
        <w:spacing w:after="60"/>
      </w:pPr>
      <w:r>
        <w:rPr>
          <w:rFonts w:ascii="Arial" w:cs="Arial" w:eastAsia="Arial" w:hAnsi="Arial"/>
          <w:sz w:val="22"/>
          <w:szCs w:val="22"/>
        </w:rPr>
        <w:t xml:space="preserve">Produces final analysis report with confidence scores</w:t>
      </w:r>
    </w:p>
    <w:p>
      <w:pPr>
        <w:spacing w:after="100"/>
      </w:pPr>
    </w:p>
    <w:p>
      <w:pPr>
        <w:pStyle w:val="Heading3"/>
      </w:pPr>
      <w:r>
        <w:t xml:space="preserve">3.2.2 Level Agents</w:t>
      </w:r>
    </w:p>
    <w:p>
      <w:pPr>
        <w:spacing w:after="100"/>
      </w:pPr>
      <w:r>
        <w:rPr>
          <w:rFonts w:ascii="Arial" w:cs="Arial" w:eastAsia="Arial" w:hAnsi="Arial"/>
          <w:b/>
          <w:bCs/>
          <w:sz w:val="22"/>
          <w:szCs w:val="22"/>
        </w:rPr>
        <w:t xml:space="preserve">L0 NAV Agent – </w:t>
      </w:r>
      <w:r>
        <w:rPr>
          <w:rFonts w:ascii="Arial" w:cs="Arial" w:eastAsia="Arial" w:hAnsi="Arial"/>
          <w:sz w:val="22"/>
          <w:szCs w:val="22"/>
        </w:rPr>
        <w:t xml:space="preserve">Performs initial NAV-level comparison and triage. Calculates absolute and relative variances across all share classes. Classifies the break into primary driver categories (income, expense, position, capital). Determines materiality and priority for further drill-down.</w:t>
      </w:r>
    </w:p>
    <w:p>
      <w:pPr>
        <w:spacing w:after="60"/>
      </w:pPr>
    </w:p>
    <w:p>
      <w:pPr>
        <w:spacing w:after="100"/>
      </w:pPr>
      <w:r>
        <w:rPr>
          <w:rFonts w:ascii="Arial" w:cs="Arial" w:eastAsia="Arial" w:hAnsi="Arial"/>
          <w:b/>
          <w:bCs/>
          <w:sz w:val="22"/>
          <w:szCs w:val="22"/>
        </w:rPr>
        <w:t xml:space="preserve">L1 GL Agent – </w:t>
      </w:r>
      <w:r>
        <w:rPr>
          <w:rFonts w:ascii="Arial" w:cs="Arial" w:eastAsia="Arial" w:hAnsi="Arial"/>
          <w:sz w:val="22"/>
          <w:szCs w:val="22"/>
        </w:rPr>
        <w:t xml:space="preserve">Decomposes the NAV break into contributing GL account variances. Maps each fund’s chart of accounts between CPU and Incumbent systems using GraphRAG-maintained mappings. Identifies which GL buckets (Investment at Market, Accrued Income, Receivables, Payables, Capital) drive the break. Quantifies each bucket’s contribution to total variance.</w:t>
      </w:r>
    </w:p>
    <w:p>
      <w:pPr>
        <w:spacing w:after="60"/>
      </w:pPr>
    </w:p>
    <w:p>
      <w:pPr>
        <w:spacing w:after="100"/>
      </w:pPr>
      <w:r>
        <w:rPr>
          <w:rFonts w:ascii="Arial" w:cs="Arial" w:eastAsia="Arial" w:hAnsi="Arial"/>
          <w:b/>
          <w:bCs/>
          <w:sz w:val="22"/>
          <w:szCs w:val="22"/>
        </w:rPr>
        <w:t xml:space="preserve">L2 Sub-Ledger Agent – </w:t>
      </w:r>
      <w:r>
        <w:rPr>
          <w:rFonts w:ascii="Arial" w:cs="Arial" w:eastAsia="Arial" w:hAnsi="Arial"/>
          <w:sz w:val="22"/>
          <w:szCs w:val="22"/>
        </w:rPr>
        <w:t xml:space="preserve">Within each breaking GL bucket, drills into position-level detail. Compares security-by-security holdings and market values. Reconciles lot-level cost bases and unrealized gains. Validates accrual calculations (interest, dividends, amortization). Checks counterparty-level payable/receivable balances.</w:t>
      </w:r>
    </w:p>
    <w:p>
      <w:pPr>
        <w:spacing w:after="60"/>
      </w:pPr>
    </w:p>
    <w:p>
      <w:pPr>
        <w:spacing w:after="100"/>
      </w:pPr>
      <w:r>
        <w:rPr>
          <w:rFonts w:ascii="Arial" w:cs="Arial" w:eastAsia="Arial" w:hAnsi="Arial"/>
          <w:b/>
          <w:bCs/>
          <w:sz w:val="22"/>
          <w:szCs w:val="22"/>
        </w:rPr>
        <w:t xml:space="preserve">L3 Transaction Agent – </w:t>
      </w:r>
      <w:r>
        <w:rPr>
          <w:rFonts w:ascii="Arial" w:cs="Arial" w:eastAsia="Arial" w:hAnsi="Arial"/>
          <w:sz w:val="22"/>
          <w:szCs w:val="22"/>
        </w:rPr>
        <w:t xml:space="preserve">Isolates specific transactions causing position-level breaks. Performs transaction matching using fuzzy logic (trade date, settlement date, amount, security, counterparty). Identifies orphan transactions (present in one system but not the other). Detects amount differences on matched transactions. Analyzes corporate action processing differences. Validates income calculation inputs (rates, factors, ex-dates).</w:t>
      </w:r>
    </w:p>
    <w:p>
      <w:pPr>
        <w:spacing w:after="100"/>
      </w:pPr>
    </w:p>
    <w:p>
      <w:pPr>
        <w:pStyle w:val="Heading3"/>
      </w:pPr>
      <w:r>
        <w:t xml:space="preserve">3.2.3 Specialist Agents</w:t>
      </w:r>
    </w:p>
    <w:p>
      <w:pPr>
        <w:spacing w:after="120"/>
      </w:pPr>
      <w:r>
        <w:t xml:space="preserve">In addition to the hierarchical Level Agents, specialist agents are invoked on-demand for domain-specific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Specialist Agent</w:t>
            </w:r>
          </w:p>
        </w:tc>
        <w:tc>
          <w:tcPr>
            <w:tcW w:type="dxa" w:w="3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 Condition</w:t>
            </w:r>
          </w:p>
        </w:tc>
        <w:tc>
          <w:tcPr>
            <w:tcW w:type="dxa" w:w="3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w:t>
            </w:r>
          </w:p>
        </w:tc>
      </w:tr>
      <w:tr>
        <w:tc>
          <w:tcPr>
            <w:tcW w:type="dxa" w:w="2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b/>
                <w:bCs/>
                <w:sz w:val="20"/>
                <w:szCs w:val="20"/>
              </w:rPr>
              <w:t xml:space="preserve">Pricing Agent</w:t>
            </w:r>
          </w:p>
        </w:tc>
        <w:tc>
          <w:tcPr>
            <w:tcW w:type="dxa" w:w="3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Market value variance on matched position</w:t>
            </w:r>
          </w:p>
        </w:tc>
        <w:tc>
          <w:tcPr>
            <w:tcW w:type="dxa" w:w="35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Compare pricing sources, snap times, price overrides, exchange rates</w:t>
            </w:r>
          </w:p>
        </w:tc>
      </w:tr>
      <w:tr>
        <w:tc>
          <w:tcPr>
            <w:tcW w:type="dxa" w:w="240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b/>
                <w:bCs/>
                <w:sz w:val="20"/>
                <w:szCs w:val="20"/>
                <w:shd w:val="clear"/>
              </w:rPr>
              <w:t xml:space="preserve">Corporate Action Agent</w:t>
            </w:r>
          </w:p>
        </w:tc>
        <w:tc>
          <w:tcPr>
            <w:tcW w:type="dxa" w:w="340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sz w:val="20"/>
                <w:szCs w:val="20"/>
                <w:shd w:val="clear"/>
              </w:rPr>
              <w:t xml:space="preserve">Missing/extra transactions near ex-date</w:t>
            </w:r>
          </w:p>
        </w:tc>
        <w:tc>
          <w:tcPr>
            <w:tcW w:type="dxa" w:w="356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sz w:val="20"/>
                <w:szCs w:val="20"/>
                <w:shd w:val="clear"/>
              </w:rPr>
              <w:t xml:space="preserve">Validate CA event processing: stock splits, mergers, dividends, rights</w:t>
            </w:r>
          </w:p>
        </w:tc>
      </w:tr>
      <w:tr>
        <w:tc>
          <w:tcPr>
            <w:tcW w:type="dxa" w:w="2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b/>
                <w:bCs/>
                <w:sz w:val="20"/>
                <w:szCs w:val="20"/>
              </w:rPr>
              <w:t xml:space="preserve">Accrual Agent</w:t>
            </w:r>
          </w:p>
        </w:tc>
        <w:tc>
          <w:tcPr>
            <w:tcW w:type="dxa" w:w="3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Income/expense accrual variance</w:t>
            </w:r>
          </w:p>
        </w:tc>
        <w:tc>
          <w:tcPr>
            <w:tcW w:type="dxa" w:w="35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Validate day count conventions, accrual periods, rate inputs, amortization schedules</w:t>
            </w:r>
          </w:p>
        </w:tc>
      </w:tr>
      <w:tr>
        <w:tc>
          <w:tcPr>
            <w:tcW w:type="dxa" w:w="240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b/>
                <w:bCs/>
                <w:sz w:val="20"/>
                <w:szCs w:val="20"/>
                <w:shd w:val="clear"/>
              </w:rPr>
              <w:t xml:space="preserve">FX Agent</w:t>
            </w:r>
          </w:p>
        </w:tc>
        <w:tc>
          <w:tcPr>
            <w:tcW w:type="dxa" w:w="340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sz w:val="20"/>
                <w:szCs w:val="20"/>
                <w:shd w:val="clear"/>
              </w:rPr>
              <w:t xml:space="preserve">Multi-currency fund with position variance</w:t>
            </w:r>
          </w:p>
        </w:tc>
        <w:tc>
          <w:tcPr>
            <w:tcW w:type="dxa" w:w="356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sz w:val="20"/>
                <w:szCs w:val="20"/>
                <w:shd w:val="clear"/>
              </w:rPr>
              <w:t xml:space="preserve">Compare FX rates, hedging positions, unrealized FX gains, spot vs forward rates</w:t>
            </w:r>
          </w:p>
        </w:tc>
      </w:tr>
      <w:tr>
        <w:tc>
          <w:tcPr>
            <w:tcW w:type="dxa" w:w="2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b/>
                <w:bCs/>
                <w:sz w:val="20"/>
                <w:szCs w:val="20"/>
              </w:rPr>
              <w:t xml:space="preserve">Pattern Agent</w:t>
            </w:r>
          </w:p>
        </w:tc>
        <w:tc>
          <w:tcPr>
            <w:tcW w:type="dxa" w:w="3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Always invoked post-analysis</w:t>
            </w:r>
          </w:p>
        </w:tc>
        <w:tc>
          <w:tcPr>
            <w:tcW w:type="dxa" w:w="35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Match current break against historical pattern graph, suggest known resolutions</w:t>
            </w:r>
          </w:p>
        </w:tc>
      </w:tr>
    </w:tbl>
    <w:p>
      <w:r>
        <w:br w:type="page"/>
      </w:r>
    </w:p>
    <w:p>
      <w:pPr>
        <w:pStyle w:val="Heading1"/>
      </w:pPr>
      <w:r>
        <w:t xml:space="preserve">4. GraphRAG Knowledge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D4A84B" w:sz="3"/>
              <w:right w:val="none" w:sz="0"/>
            </w:tcBorders>
          </w:tcPr>
          <w:p>
            <w:pPr>
              <w:spacing w:after="0"/>
            </w:pPr>
          </w:p>
        </w:tc>
      </w:tr>
    </w:tbl>
    <w:p>
      <w:pPr>
        <w:spacing w:after="100"/>
      </w:pPr>
    </w:p>
    <w:p>
      <w:pPr>
        <w:pStyle w:val="Heading2"/>
      </w:pPr>
      <w:r>
        <w:t xml:space="preserve">4.1 Why GraphRAG for Reconciliation</w:t>
      </w:r>
    </w:p>
    <w:p>
      <w:pPr>
        <w:spacing w:after="120"/>
      </w:pPr>
      <w:r>
        <w:t xml:space="preserve">Traditional RAG (vector similarity search) is insufficient for reconciliation analysis because the relationships between entities matter as much as the entities themselves. A NAV break is not just about finding similar past breaks – it’s about traversing the causal chain from NAV through ledgers to transactions. GraphRAG provides this relational reasoning capability.</w:t>
      </w:r>
    </w:p>
    <w:p>
      <w:pPr>
        <w:spacing w:after="100"/>
      </w:pPr>
    </w:p>
    <w:p>
      <w:pPr>
        <w:pStyle w:val="Heading2"/>
      </w:pPr>
      <w:r>
        <w:t xml:space="preserve">4.2 Knowledge Graph Schema</w:t>
      </w:r>
    </w:p>
    <w:p>
      <w:pPr>
        <w:spacing w:after="120"/>
      </w:pPr>
      <w:r>
        <w:t xml:space="preserve">The reconciliation knowledge graph models four categories of knowledge:</w:t>
      </w:r>
    </w:p>
    <w:p>
      <w:pPr>
        <w:spacing w:after="100"/>
      </w:pPr>
    </w:p>
    <w:p>
      <w:pPr>
        <w:pStyle w:val="Heading3"/>
      </w:pPr>
      <w:r>
        <w:t xml:space="preserve">4.2.1 Domain Entity Graph (Static)</w:t>
      </w:r>
    </w:p>
    <w:p>
      <w:pPr>
        <w:spacing w:after="120"/>
      </w:pPr>
      <w:r>
        <w:t xml:space="preserve">Represents the structural relationships in fund accounting:</w:t>
      </w:r>
    </w:p>
    <w:p>
      <w:pPr>
        <w:pStyle w:val="ListParagraph"/>
        <w:numPr>
          <w:ilvl w:val="0"/>
          <w:numId w:val="4"/>
        </w:numPr>
        <w:spacing w:after="60"/>
      </w:pPr>
      <w:r>
        <w:rPr>
          <w:rFonts w:ascii="Arial" w:cs="Arial" w:eastAsia="Arial" w:hAnsi="Arial"/>
          <w:sz w:val="22"/>
          <w:szCs w:val="22"/>
        </w:rPr>
        <w:t xml:space="preserve">Fund → ShareClass → NAVComponent → GLAccount → SubLedgerPosition → Transaction</w:t>
      </w:r>
    </w:p>
    <w:p>
      <w:pPr>
        <w:pStyle w:val="ListParagraph"/>
        <w:numPr>
          <w:ilvl w:val="0"/>
          <w:numId w:val="4"/>
        </w:numPr>
        <w:spacing w:after="60"/>
      </w:pPr>
      <w:r>
        <w:rPr>
          <w:rFonts w:ascii="Arial" w:cs="Arial" w:eastAsia="Arial" w:hAnsi="Arial"/>
          <w:sz w:val="22"/>
          <w:szCs w:val="22"/>
        </w:rPr>
        <w:t xml:space="preserve">Security → PricingSource → Exchange → Currency</w:t>
      </w:r>
    </w:p>
    <w:p>
      <w:pPr>
        <w:pStyle w:val="ListParagraph"/>
        <w:numPr>
          <w:ilvl w:val="0"/>
          <w:numId w:val="4"/>
        </w:numPr>
        <w:spacing w:after="60"/>
      </w:pPr>
      <w:r>
        <w:rPr>
          <w:rFonts w:ascii="Arial" w:cs="Arial" w:eastAsia="Arial" w:hAnsi="Arial"/>
          <w:sz w:val="22"/>
          <w:szCs w:val="22"/>
        </w:rPr>
        <w:t xml:space="preserve">Counterparty → SettlementInstruction → CustodianAccount</w:t>
      </w:r>
    </w:p>
    <w:p>
      <w:pPr>
        <w:pStyle w:val="ListParagraph"/>
        <w:numPr>
          <w:ilvl w:val="0"/>
          <w:numId w:val="4"/>
        </w:numPr>
        <w:spacing w:after="60"/>
      </w:pPr>
      <w:r>
        <w:rPr>
          <w:rFonts w:ascii="Arial" w:cs="Arial" w:eastAsia="Arial" w:hAnsi="Arial"/>
          <w:sz w:val="22"/>
          <w:szCs w:val="22"/>
        </w:rPr>
        <w:t xml:space="preserve">CorporateAction → EventType → AffectedSecurity → ProcessingRule</w:t>
      </w:r>
    </w:p>
    <w:p>
      <w:pPr>
        <w:spacing w:after="100"/>
      </w:pPr>
    </w:p>
    <w:p>
      <w:pPr>
        <w:pStyle w:val="Heading3"/>
      </w:pPr>
      <w:r>
        <w:t xml:space="preserve">4.2.2 Accounting Rule Graph (Semi-Static)</w:t>
      </w:r>
    </w:p>
    <w:p>
      <w:pPr>
        <w:spacing w:after="120"/>
      </w:pPr>
      <w:r>
        <w:t xml:space="preserve">Encodes fund accounting calculation rules and conventions:</w:t>
      </w:r>
    </w:p>
    <w:p>
      <w:pPr>
        <w:pStyle w:val="ListParagraph"/>
        <w:numPr>
          <w:ilvl w:val="0"/>
          <w:numId w:val="5"/>
        </w:numPr>
        <w:spacing w:after="60"/>
      </w:pPr>
      <w:r>
        <w:rPr>
          <w:rFonts w:ascii="Arial" w:cs="Arial" w:eastAsia="Arial" w:hAnsi="Arial"/>
          <w:sz w:val="22"/>
          <w:szCs w:val="22"/>
        </w:rPr>
        <w:t xml:space="preserve">AccrualMethod → DayCountConvention → CalculationFormula</w:t>
      </w:r>
    </w:p>
    <w:p>
      <w:pPr>
        <w:pStyle w:val="ListParagraph"/>
        <w:numPr>
          <w:ilvl w:val="0"/>
          <w:numId w:val="5"/>
        </w:numPr>
        <w:spacing w:after="60"/>
      </w:pPr>
      <w:r>
        <w:rPr>
          <w:rFonts w:ascii="Arial" w:cs="Arial" w:eastAsia="Arial" w:hAnsi="Arial"/>
          <w:sz w:val="22"/>
          <w:szCs w:val="22"/>
        </w:rPr>
        <w:t xml:space="preserve">GLMappingRule → TransactionType → DebitAccount + CreditAccount</w:t>
      </w:r>
    </w:p>
    <w:p>
      <w:pPr>
        <w:pStyle w:val="ListParagraph"/>
        <w:numPr>
          <w:ilvl w:val="0"/>
          <w:numId w:val="5"/>
        </w:numPr>
        <w:spacing w:after="60"/>
      </w:pPr>
      <w:r>
        <w:rPr>
          <w:rFonts w:ascii="Arial" w:cs="Arial" w:eastAsia="Arial" w:hAnsi="Arial"/>
          <w:sz w:val="22"/>
          <w:szCs w:val="22"/>
        </w:rPr>
        <w:t xml:space="preserve">AmortizationSchedule → SecurityType → Method (straight-line, effective interest)</w:t>
      </w:r>
    </w:p>
    <w:p>
      <w:pPr>
        <w:pStyle w:val="ListParagraph"/>
        <w:numPr>
          <w:ilvl w:val="0"/>
          <w:numId w:val="5"/>
        </w:numPr>
        <w:spacing w:after="60"/>
      </w:pPr>
      <w:r>
        <w:rPr>
          <w:rFonts w:ascii="Arial" w:cs="Arial" w:eastAsia="Arial" w:hAnsi="Arial"/>
          <w:sz w:val="22"/>
          <w:szCs w:val="22"/>
        </w:rPr>
        <w:t xml:space="preserve">NAVCalculationRule → ComponentInclusion → TimingCutoff</w:t>
      </w:r>
    </w:p>
    <w:p>
      <w:pPr>
        <w:spacing w:after="100"/>
      </w:pPr>
    </w:p>
    <w:p>
      <w:pPr>
        <w:pStyle w:val="Heading3"/>
      </w:pPr>
      <w:r>
        <w:t xml:space="preserve">4.2.3 Transaction Lineage Graph (Dynamic)</w:t>
      </w:r>
    </w:p>
    <w:p>
      <w:pPr>
        <w:spacing w:after="120"/>
      </w:pPr>
      <w:r>
        <w:t xml:space="preserve">Captures the operational data flowing through each NAV cycle:</w:t>
      </w:r>
    </w:p>
    <w:p>
      <w:pPr>
        <w:pStyle w:val="ListParagraph"/>
        <w:numPr>
          <w:ilvl w:val="0"/>
          <w:numId w:val="6"/>
        </w:numPr>
        <w:spacing w:after="60"/>
      </w:pPr>
      <w:r>
        <w:rPr>
          <w:rFonts w:ascii="Arial" w:cs="Arial" w:eastAsia="Arial" w:hAnsi="Arial"/>
          <w:sz w:val="22"/>
          <w:szCs w:val="22"/>
        </w:rPr>
        <w:t xml:space="preserve">NAVPublication → GLSnapshot → SubLedgerPositions → Transactions (per cycle)</w:t>
      </w:r>
    </w:p>
    <w:p>
      <w:pPr>
        <w:pStyle w:val="ListParagraph"/>
        <w:numPr>
          <w:ilvl w:val="0"/>
          <w:numId w:val="6"/>
        </w:numPr>
        <w:spacing w:after="60"/>
      </w:pPr>
      <w:r>
        <w:rPr>
          <w:rFonts w:ascii="Arial" w:cs="Arial" w:eastAsia="Arial" w:hAnsi="Arial"/>
          <w:sz w:val="22"/>
          <w:szCs w:val="22"/>
        </w:rPr>
        <w:t xml:space="preserve">Trade → Allocation → Settlement → CashMovement → GLPosting</w:t>
      </w:r>
    </w:p>
    <w:p>
      <w:pPr>
        <w:pStyle w:val="ListParagraph"/>
        <w:numPr>
          <w:ilvl w:val="0"/>
          <w:numId w:val="6"/>
        </w:numPr>
        <w:spacing w:after="60"/>
      </w:pPr>
      <w:r>
        <w:rPr>
          <w:rFonts w:ascii="Arial" w:cs="Arial" w:eastAsia="Arial" w:hAnsi="Arial"/>
          <w:sz w:val="22"/>
          <w:szCs w:val="22"/>
        </w:rPr>
        <w:t xml:space="preserve">CorporateActionEvent → Entitlement → CashFlow → PositionAdjustment</w:t>
      </w:r>
    </w:p>
    <w:p>
      <w:pPr>
        <w:spacing w:after="100"/>
      </w:pPr>
    </w:p>
    <w:p>
      <w:pPr>
        <w:pStyle w:val="Heading3"/>
      </w:pPr>
      <w:r>
        <w:t xml:space="preserve">4.2.4 Break Pattern Graph (Accumulated)</w:t>
      </w:r>
    </w:p>
    <w:p>
      <w:pPr>
        <w:spacing w:after="120"/>
      </w:pPr>
      <w:r>
        <w:t xml:space="preserve">The most valuable graph layer – accumulated knowledge from resolved breaks:</w:t>
      </w:r>
    </w:p>
    <w:p>
      <w:pPr>
        <w:pStyle w:val="ListParagraph"/>
        <w:numPr>
          <w:ilvl w:val="0"/>
          <w:numId w:val="7"/>
        </w:numPr>
        <w:spacing w:after="60"/>
      </w:pPr>
      <w:r>
        <w:rPr>
          <w:rFonts w:ascii="Arial" w:cs="Arial" w:eastAsia="Arial" w:hAnsi="Arial"/>
          <w:sz w:val="22"/>
          <w:szCs w:val="22"/>
        </w:rPr>
        <w:t xml:space="preserve">BreakInstance → BreakCategory → RootCause → Resolution → PreventionRule</w:t>
      </w:r>
    </w:p>
    <w:p>
      <w:pPr>
        <w:pStyle w:val="ListParagraph"/>
        <w:numPr>
          <w:ilvl w:val="0"/>
          <w:numId w:val="7"/>
        </w:numPr>
        <w:spacing w:after="60"/>
      </w:pPr>
      <w:r>
        <w:rPr>
          <w:rFonts w:ascii="Arial" w:cs="Arial" w:eastAsia="Arial" w:hAnsi="Arial"/>
          <w:sz w:val="22"/>
          <w:szCs w:val="22"/>
        </w:rPr>
        <w:t xml:space="preserve">BreakPattern → FundCharacteristic → SecurityType → TransactionType</w:t>
      </w:r>
    </w:p>
    <w:p>
      <w:pPr>
        <w:pStyle w:val="ListParagraph"/>
        <w:numPr>
          <w:ilvl w:val="0"/>
          <w:numId w:val="7"/>
        </w:numPr>
        <w:spacing w:after="60"/>
      </w:pPr>
      <w:r>
        <w:rPr>
          <w:rFonts w:ascii="Arial" w:cs="Arial" w:eastAsia="Arial" w:hAnsi="Arial"/>
          <w:sz w:val="22"/>
          <w:szCs w:val="22"/>
        </w:rPr>
        <w:t xml:space="preserve">BreakCluster → SystematicIssue → ConfigurationFix → ElectronDSL_Rule</w:t>
      </w:r>
    </w:p>
    <w:p>
      <w:pPr>
        <w:spacing w:after="200"/>
      </w:pPr>
    </w:p>
    <w:p>
      <w:pPr>
        <w:pStyle w:val="Heading2"/>
      </w:pPr>
      <w:r>
        <w:t xml:space="preserve">4.3 GraphRAG Query Patterns</w:t>
      </w:r>
    </w:p>
    <w:p>
      <w:pPr>
        <w:spacing w:after="120"/>
      </w:pPr>
      <w:r>
        <w:t xml:space="preserve">The agents use structured graph traversal patterns to reason about breaks: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Query Pattern</w:t>
            </w:r>
          </w:p>
        </w:tc>
        <w:tc>
          <w:tcPr>
            <w:tcW w:type="dxa" w:w="3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Graph Traversal</w:t>
            </w:r>
          </w:p>
        </w:tc>
        <w:tc>
          <w:tcPr>
            <w:tcW w:type="dxa" w:w="3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b/>
                <w:bCs/>
                <w:sz w:val="20"/>
                <w:szCs w:val="20"/>
              </w:rPr>
              <w:t xml:space="preserve">Causal Drill-Down</w:t>
            </w:r>
          </w:p>
        </w:tc>
        <w:tc>
          <w:tcPr>
            <w:tcW w:type="dxa" w:w="38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NAV → GL → SubLedger → Transaction (filtered by variance)</w:t>
            </w:r>
          </w:p>
        </w:tc>
        <w:tc>
          <w:tcPr>
            <w:tcW w:type="dxa" w:w="33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Primary analysis path from break to root cause</w:t>
            </w:r>
          </w:p>
        </w:tc>
      </w:tr>
      <w:tr>
        <w:tc>
          <w:tcPr>
            <w:tcW w:type="dxa" w:w="220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b/>
                <w:bCs/>
                <w:sz w:val="20"/>
                <w:szCs w:val="20"/>
                <w:shd w:val="clear"/>
              </w:rPr>
              <w:t xml:space="preserve">Pattern Match</w:t>
            </w:r>
          </w:p>
        </w:tc>
        <w:tc>
          <w:tcPr>
            <w:tcW w:type="dxa" w:w="380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sz w:val="20"/>
                <w:szCs w:val="20"/>
                <w:shd w:val="clear"/>
              </w:rPr>
              <w:t xml:space="preserve">CurrentBreak → [similarity] → HistoricalBreak → Resolution</w:t>
            </w:r>
          </w:p>
        </w:tc>
        <w:tc>
          <w:tcPr>
            <w:tcW w:type="dxa" w:w="336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sz w:val="20"/>
                <w:szCs w:val="20"/>
                <w:shd w:val="clear"/>
              </w:rPr>
              <w:t xml:space="preserve">Find similar past breaks and their resolutions</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b/>
                <w:bCs/>
                <w:sz w:val="20"/>
                <w:szCs w:val="20"/>
              </w:rPr>
              <w:t xml:space="preserve">Rule Validation</w:t>
            </w:r>
          </w:p>
        </w:tc>
        <w:tc>
          <w:tcPr>
            <w:tcW w:type="dxa" w:w="38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Transaction → AccountingRule → ExpectedGLPosting vs ActualGLPosting</w:t>
            </w:r>
          </w:p>
        </w:tc>
        <w:tc>
          <w:tcPr>
            <w:tcW w:type="dxa" w:w="33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Verify transaction was processed per accounting rules</w:t>
            </w:r>
          </w:p>
        </w:tc>
      </w:tr>
      <w:tr>
        <w:tc>
          <w:tcPr>
            <w:tcW w:type="dxa" w:w="220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b/>
                <w:bCs/>
                <w:sz w:val="20"/>
                <w:szCs w:val="20"/>
                <w:shd w:val="clear"/>
              </w:rPr>
              <w:t xml:space="preserve">Cross-System Map</w:t>
            </w:r>
          </w:p>
        </w:tc>
        <w:tc>
          <w:tcPr>
            <w:tcW w:type="dxa" w:w="380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sz w:val="20"/>
                <w:szCs w:val="20"/>
                <w:shd w:val="clear"/>
              </w:rPr>
              <w:t xml:space="preserve">CPU_GLAccount → [mapping] → Incumbent_GLAccount</w:t>
            </w:r>
          </w:p>
        </w:tc>
        <w:tc>
          <w:tcPr>
            <w:tcW w:type="dxa" w:w="336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sz w:val="20"/>
                <w:szCs w:val="20"/>
                <w:shd w:val="clear"/>
              </w:rPr>
              <w:t xml:space="preserve">Reconcile different chart-of-accounts structures</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b/>
                <w:bCs/>
                <w:sz w:val="20"/>
                <w:szCs w:val="20"/>
              </w:rPr>
              <w:t xml:space="preserve">Impact Analysis</w:t>
            </w:r>
          </w:p>
        </w:tc>
        <w:tc>
          <w:tcPr>
            <w:tcW w:type="dxa" w:w="38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Transaction → [affects] → Position → GLAccount → NAVComponent</w:t>
            </w:r>
          </w:p>
        </w:tc>
        <w:tc>
          <w:tcPr>
            <w:tcW w:type="dxa" w:w="33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Trace forward from transaction to NAV impact</w:t>
            </w:r>
          </w:p>
        </w:tc>
      </w:tr>
    </w:tbl>
    <w:p>
      <w:pPr>
        <w:spacing w:after="200"/>
      </w:pPr>
    </w:p>
    <w:p>
      <w:pPr>
        <w:pStyle w:val="Heading2"/>
      </w:pPr>
      <w:r>
        <w:t xml:space="preserve">4.4 Graph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b/>
                <w:bCs/>
                <w:sz w:val="20"/>
                <w:szCs w:val="20"/>
              </w:rPr>
              <w:t xml:space="preserve">Graph Database</w:t>
            </w:r>
          </w:p>
        </w:tc>
        <w:tc>
          <w:tcPr>
            <w:tcW w:type="dxa" w:w="2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Neo4j / Amazon Neptune</w:t>
            </w:r>
          </w:p>
        </w:tc>
        <w:tc>
          <w:tcPr>
            <w:tcW w:type="dxa" w:w="45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Mature property graph with Cypher/Gremlin query languages. Native graph traversal performance for multi-hop reconciliation queries.</w:t>
            </w:r>
          </w:p>
        </w:tc>
      </w:tr>
      <w:tr>
        <w:tc>
          <w:tcPr>
            <w:tcW w:type="dxa" w:w="240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b/>
                <w:bCs/>
                <w:sz w:val="20"/>
                <w:szCs w:val="20"/>
                <w:shd w:val="clear"/>
              </w:rPr>
              <w:t xml:space="preserve">Graph Embedding</w:t>
            </w:r>
          </w:p>
        </w:tc>
        <w:tc>
          <w:tcPr>
            <w:tcW w:type="dxa" w:w="240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sz w:val="20"/>
                <w:szCs w:val="20"/>
                <w:shd w:val="clear"/>
              </w:rPr>
              <w:t xml:space="preserve">Microsoft GraphRAG</w:t>
            </w:r>
          </w:p>
        </w:tc>
        <w:tc>
          <w:tcPr>
            <w:tcW w:type="dxa" w:w="456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sz w:val="20"/>
                <w:szCs w:val="20"/>
                <w:shd w:val="clear"/>
              </w:rPr>
              <w:t xml:space="preserve">Combines graph structure with LLM-powered summarization. Community detection for break pattern clustering. Hierarchical summarization for multi-level analysis.</w:t>
            </w:r>
          </w:p>
        </w:tc>
      </w:tr>
      <w:tr>
        <w:tc>
          <w:tcPr>
            <w:tcW w:type="dxa" w:w="2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b/>
                <w:bCs/>
                <w:sz w:val="20"/>
                <w:szCs w:val="20"/>
              </w:rPr>
              <w:t xml:space="preserve">Vector Store</w:t>
            </w:r>
          </w:p>
        </w:tc>
        <w:tc>
          <w:tcPr>
            <w:tcW w:type="dxa" w:w="2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Weaviate / Pinecone</w:t>
            </w:r>
          </w:p>
        </w:tc>
        <w:tc>
          <w:tcPr>
            <w:tcW w:type="dxa" w:w="45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Hybrid search combining semantic similarity (for break descriptions) with structured filtering (fund type, date range).</w:t>
            </w:r>
          </w:p>
        </w:tc>
      </w:tr>
      <w:tr>
        <w:tc>
          <w:tcPr>
            <w:tcW w:type="dxa" w:w="240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b/>
                <w:bCs/>
                <w:sz w:val="20"/>
                <w:szCs w:val="20"/>
                <w:shd w:val="clear"/>
              </w:rPr>
              <w:t xml:space="preserve">Graph Analytics</w:t>
            </w:r>
          </w:p>
        </w:tc>
        <w:tc>
          <w:tcPr>
            <w:tcW w:type="dxa" w:w="240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sz w:val="20"/>
                <w:szCs w:val="20"/>
                <w:shd w:val="clear"/>
              </w:rPr>
              <w:t xml:space="preserve">NetworkX + Custom</w:t>
            </w:r>
          </w:p>
        </w:tc>
        <w:tc>
          <w:tcPr>
            <w:tcW w:type="dxa" w:w="456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sz w:val="20"/>
                <w:szCs w:val="20"/>
                <w:shd w:val="clear"/>
              </w:rPr>
              <w:t xml:space="preserve">Community detection for systematic break identification. Centrality analysis for high-impact transaction identification.</w:t>
            </w:r>
          </w:p>
        </w:tc>
      </w:tr>
    </w:tbl>
    <w:p>
      <w:r>
        <w:br w:type="page"/>
      </w:r>
    </w:p>
    <w:p>
      <w:pPr>
        <w:pStyle w:val="Heading1"/>
      </w:pPr>
      <w:r>
        <w:t xml:space="preserve">5. Technology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D4A84B" w:sz="3"/>
              <w:right w:val="none" w:sz="0"/>
            </w:tcBorders>
          </w:tcPr>
          <w:p>
            <w:pPr>
              <w:spacing w:after="0"/>
            </w:pPr>
          </w:p>
        </w:tc>
      </w:tr>
    </w:tbl>
    <w:p>
      <w:pPr>
        <w:spacing w:after="100"/>
      </w:pPr>
    </w:p>
    <w:p>
      <w:pPr>
        <w:pStyle w:val="Heading2"/>
      </w:pPr>
      <w:r>
        <w:t xml:space="preserve">5.1 Core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b/>
                <w:bCs/>
                <w:sz w:val="20"/>
                <w:szCs w:val="20"/>
              </w:rPr>
              <w:t xml:space="preserve">Agent Framework</w:t>
            </w:r>
          </w:p>
        </w:tc>
        <w:tc>
          <w:tcPr>
            <w:tcW w:type="dxa" w:w="28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LangGraph (Java/Python)</w:t>
            </w:r>
          </w:p>
        </w:tc>
        <w:tc>
          <w:tcPr>
            <w:tcW w:type="dxa" w:w="43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Multi-agent orchestration with state management. Integrates with OpenRudder event-driven patterns. Supports human-in-the-loop escalation.</w:t>
            </w:r>
          </w:p>
        </w:tc>
      </w:tr>
      <w:tr>
        <w:tc>
          <w:tcPr>
            <w:tcW w:type="dxa" w:w="220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b/>
                <w:bCs/>
                <w:sz w:val="20"/>
                <w:szCs w:val="20"/>
                <w:shd w:val="clear"/>
              </w:rPr>
              <w:t xml:space="preserve">LLM Backend</w:t>
            </w:r>
          </w:p>
        </w:tc>
        <w:tc>
          <w:tcPr>
            <w:tcW w:type="dxa" w:w="280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sz w:val="20"/>
                <w:szCs w:val="20"/>
                <w:shd w:val="clear"/>
              </w:rPr>
              <w:t xml:space="preserve">Claude Sonnet / GPT-4o</w:t>
            </w:r>
          </w:p>
        </w:tc>
        <w:tc>
          <w:tcPr>
            <w:tcW w:type="dxa" w:w="436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sz w:val="20"/>
                <w:szCs w:val="20"/>
                <w:shd w:val="clear"/>
              </w:rPr>
              <w:t xml:space="preserve">Reasoning over accounting rules and break narratives. Function calling for structured agent tools. JSON mode for structured output.</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b/>
                <w:bCs/>
                <w:sz w:val="20"/>
                <w:szCs w:val="20"/>
              </w:rPr>
              <w:t xml:space="preserve">Application Layer</w:t>
            </w:r>
          </w:p>
        </w:tc>
        <w:tc>
          <w:tcPr>
            <w:tcW w:type="dxa" w:w="28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Java Spring Boot</w:t>
            </w:r>
          </w:p>
        </w:tc>
        <w:tc>
          <w:tcPr>
            <w:tcW w:type="dxa" w:w="43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Microservices for data ingestion, agent coordination, and API layer. Aligns with existing CPU code base and ElectronDSL platform.</w:t>
            </w:r>
          </w:p>
        </w:tc>
      </w:tr>
      <w:tr>
        <w:tc>
          <w:tcPr>
            <w:tcW w:type="dxa" w:w="220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b/>
                <w:bCs/>
                <w:sz w:val="20"/>
                <w:szCs w:val="20"/>
                <w:shd w:val="clear"/>
              </w:rPr>
              <w:t xml:space="preserve">Event Bus</w:t>
            </w:r>
          </w:p>
        </w:tc>
        <w:tc>
          <w:tcPr>
            <w:tcW w:type="dxa" w:w="280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sz w:val="20"/>
                <w:szCs w:val="20"/>
                <w:shd w:val="clear"/>
              </w:rPr>
              <w:t xml:space="preserve">Apache Kafka</w:t>
            </w:r>
          </w:p>
        </w:tc>
        <w:tc>
          <w:tcPr>
            <w:tcW w:type="dxa" w:w="436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sz w:val="20"/>
                <w:szCs w:val="20"/>
                <w:shd w:val="clear"/>
              </w:rPr>
              <w:t xml:space="preserve">NAV cycle events trigger reconciliation analysis. Agent-to-agent communication via event topics. Audit trail of all analysis steps.</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b/>
                <w:bCs/>
                <w:sz w:val="20"/>
                <w:szCs w:val="20"/>
              </w:rPr>
              <w:t xml:space="preserve">Data Store</w:t>
            </w:r>
          </w:p>
        </w:tc>
        <w:tc>
          <w:tcPr>
            <w:tcW w:type="dxa" w:w="28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PostgreSQL + TimescaleDB</w:t>
            </w:r>
          </w:p>
        </w:tc>
        <w:tc>
          <w:tcPr>
            <w:tcW w:type="dxa" w:w="43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Transactional data with time-series optimization for historical analysis. Hypertables for NAV/GL/position time series.</w:t>
            </w:r>
          </w:p>
        </w:tc>
      </w:tr>
      <w:tr>
        <w:tc>
          <w:tcPr>
            <w:tcW w:type="dxa" w:w="220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b/>
                <w:bCs/>
                <w:sz w:val="20"/>
                <w:szCs w:val="20"/>
                <w:shd w:val="clear"/>
              </w:rPr>
              <w:t xml:space="preserve">Graph Store</w:t>
            </w:r>
          </w:p>
        </w:tc>
        <w:tc>
          <w:tcPr>
            <w:tcW w:type="dxa" w:w="280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sz w:val="20"/>
                <w:szCs w:val="20"/>
                <w:shd w:val="clear"/>
              </w:rPr>
              <w:t xml:space="preserve">Neo4j</w:t>
            </w:r>
          </w:p>
        </w:tc>
        <w:tc>
          <w:tcPr>
            <w:tcW w:type="dxa" w:w="436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sz w:val="20"/>
                <w:szCs w:val="20"/>
                <w:shd w:val="clear"/>
              </w:rPr>
              <w:t xml:space="preserve">Knowledge graph for domain entities, accounting rules, break patterns, and transaction lineage.</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b/>
                <w:bCs/>
                <w:sz w:val="20"/>
                <w:szCs w:val="20"/>
              </w:rPr>
              <w:t xml:space="preserve">Caching</w:t>
            </w:r>
          </w:p>
        </w:tc>
        <w:tc>
          <w:tcPr>
            <w:tcW w:type="dxa" w:w="28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Redis</w:t>
            </w:r>
          </w:p>
        </w:tc>
        <w:tc>
          <w:tcPr>
            <w:tcW w:type="dxa" w:w="43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Agent state caching, intermediate analysis results, frequently accessed fund configurations.</w:t>
            </w:r>
          </w:p>
        </w:tc>
      </w:tr>
      <w:tr>
        <w:tc>
          <w:tcPr>
            <w:tcW w:type="dxa" w:w="220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b/>
                <w:bCs/>
                <w:sz w:val="20"/>
                <w:szCs w:val="20"/>
                <w:shd w:val="clear"/>
              </w:rPr>
              <w:t xml:space="preserve">Frontend</w:t>
            </w:r>
          </w:p>
        </w:tc>
        <w:tc>
          <w:tcPr>
            <w:tcW w:type="dxa" w:w="280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sz w:val="20"/>
                <w:szCs w:val="20"/>
                <w:shd w:val="clear"/>
              </w:rPr>
              <w:t xml:space="preserve">React + D3.js + AG-Grid</w:t>
            </w:r>
          </w:p>
        </w:tc>
        <w:tc>
          <w:tcPr>
            <w:tcW w:type="dxa" w:w="436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sz w:val="20"/>
                <w:szCs w:val="20"/>
                <w:shd w:val="clear"/>
              </w:rPr>
              <w:t xml:space="preserve">Interactive drill-down dashboard, graph visualization, transaction-level detail grids.</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b/>
                <w:bCs/>
                <w:sz w:val="20"/>
                <w:szCs w:val="20"/>
              </w:rPr>
              <w:t xml:space="preserve">Observability</w:t>
            </w:r>
          </w:p>
        </w:tc>
        <w:tc>
          <w:tcPr>
            <w:tcW w:type="dxa" w:w="28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OpenTelemetry + Grafana</w:t>
            </w:r>
          </w:p>
        </w:tc>
        <w:tc>
          <w:tcPr>
            <w:tcW w:type="dxa" w:w="43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Agent execution tracing, performance monitoring, analysis quality metrics.</w:t>
            </w:r>
          </w:p>
        </w:tc>
      </w:tr>
    </w:tbl>
    <w:p>
      <w:pPr>
        <w:spacing w:after="200"/>
      </w:pPr>
    </w:p>
    <w:p>
      <w:pPr>
        <w:pStyle w:val="Heading2"/>
      </w:pPr>
      <w:r>
        <w:t xml:space="preserve">5.2 Data Flow Architecture</w:t>
      </w:r>
    </w:p>
    <w:p>
      <w:pPr>
        <w:spacing w:after="120"/>
      </w:pPr>
      <w:r>
        <w:t xml:space="preserve">The system processes data through a pipeline that mirrors the NAV cycle:</w:t>
      </w:r>
    </w:p>
    <w:p>
      <w:pPr>
        <w:pStyle w:val="ListParagraph"/>
        <w:numPr>
          <w:ilvl w:val="0"/>
          <w:numId w:val="8"/>
        </w:numPr>
        <w:spacing w:after="60"/>
      </w:pPr>
      <w:r>
        <w:rPr>
          <w:rFonts w:ascii="Arial" w:cs="Arial" w:eastAsia="Arial" w:hAnsi="Arial"/>
          <w:sz w:val="22"/>
          <w:szCs w:val="22"/>
        </w:rPr>
        <w:t xml:space="preserve">NAV Cycle Completion: CPU reconciliation engine completes NAV calculation and publishes break alerts via Kafka.</w:t>
      </w:r>
    </w:p>
    <w:p>
      <w:pPr>
        <w:pStyle w:val="ListParagraph"/>
        <w:numPr>
          <w:ilvl w:val="0"/>
          <w:numId w:val="8"/>
        </w:numPr>
        <w:spacing w:after="60"/>
      </w:pPr>
      <w:r>
        <w:rPr>
          <w:rFonts w:ascii="Arial" w:cs="Arial" w:eastAsia="Arial" w:hAnsi="Arial"/>
          <w:sz w:val="22"/>
          <w:szCs w:val="22"/>
        </w:rPr>
        <w:t xml:space="preserve">Data Snapshot: Ingestion layer captures matched-pair snapshots from CPU and Incumbent systems (NAV, GL balances, positions, transactions) into PostgreSQL.</w:t>
      </w:r>
    </w:p>
    <w:p>
      <w:pPr>
        <w:pStyle w:val="ListParagraph"/>
        <w:numPr>
          <w:ilvl w:val="0"/>
          <w:numId w:val="8"/>
        </w:numPr>
        <w:spacing w:after="60"/>
      </w:pPr>
      <w:r>
        <w:rPr>
          <w:rFonts w:ascii="Arial" w:cs="Arial" w:eastAsia="Arial" w:hAnsi="Arial"/>
          <w:sz w:val="22"/>
          <w:szCs w:val="22"/>
        </w:rPr>
        <w:t xml:space="preserve">Graph Population: Transaction lineage graph is populated in Neo4j from the snapshot data, linking transactions to positions to GL to NAV.</w:t>
      </w:r>
    </w:p>
    <w:p>
      <w:pPr>
        <w:pStyle w:val="ListParagraph"/>
        <w:numPr>
          <w:ilvl w:val="0"/>
          <w:numId w:val="8"/>
        </w:numPr>
        <w:spacing w:after="60"/>
      </w:pPr>
      <w:r>
        <w:rPr>
          <w:rFonts w:ascii="Arial" w:cs="Arial" w:eastAsia="Arial" w:hAnsi="Arial"/>
          <w:sz w:val="22"/>
          <w:szCs w:val="22"/>
        </w:rPr>
        <w:t xml:space="preserve">Agent Activation: Supervisor Agent receives the break alert, queries the knowledge graph for fund context and historical patterns, and initiates the drill-down workflow.</w:t>
      </w:r>
    </w:p>
    <w:p>
      <w:pPr>
        <w:pStyle w:val="ListParagraph"/>
        <w:numPr>
          <w:ilvl w:val="0"/>
          <w:numId w:val="8"/>
        </w:numPr>
        <w:spacing w:after="60"/>
      </w:pPr>
      <w:r>
        <w:rPr>
          <w:rFonts w:ascii="Arial" w:cs="Arial" w:eastAsia="Arial" w:hAnsi="Arial"/>
          <w:sz w:val="22"/>
          <w:szCs w:val="22"/>
        </w:rPr>
        <w:t xml:space="preserve">Multi-Level Analysis: Level Agents execute their analysis in sequence, each narrowing the search space and writing findings to the shared agent state.</w:t>
      </w:r>
    </w:p>
    <w:p>
      <w:pPr>
        <w:pStyle w:val="ListParagraph"/>
        <w:numPr>
          <w:ilvl w:val="0"/>
          <w:numId w:val="8"/>
        </w:numPr>
        <w:spacing w:after="60"/>
      </w:pPr>
      <w:r>
        <w:rPr>
          <w:rFonts w:ascii="Arial" w:cs="Arial" w:eastAsia="Arial" w:hAnsi="Arial"/>
          <w:sz w:val="22"/>
          <w:szCs w:val="22"/>
        </w:rPr>
        <w:t xml:space="preserve">Pattern Matching: Pattern Agent compares findings against the break pattern graph to suggest known resolutions and assess confidence.</w:t>
      </w:r>
    </w:p>
    <w:p>
      <w:pPr>
        <w:pStyle w:val="ListParagraph"/>
        <w:numPr>
          <w:ilvl w:val="0"/>
          <w:numId w:val="8"/>
        </w:numPr>
        <w:spacing w:after="60"/>
      </w:pPr>
      <w:r>
        <w:rPr>
          <w:rFonts w:ascii="Arial" w:cs="Arial" w:eastAsia="Arial" w:hAnsi="Arial"/>
          <w:sz w:val="22"/>
          <w:szCs w:val="22"/>
        </w:rPr>
        <w:t xml:space="preserve">Report Generation: Findings are compiled into an interactive analysis report with drill-down capability and pushed to the dashboard.</w:t>
      </w:r>
    </w:p>
    <w:p>
      <w:pPr>
        <w:spacing w:after="200"/>
      </w:pPr>
    </w:p>
    <w:p>
      <w:pPr>
        <w:pStyle w:val="Heading2"/>
      </w:pPr>
      <w:r>
        <w:t xml:space="preserve">5.3 Integration with CPU Code Base</w:t>
      </w:r>
    </w:p>
    <w:p>
      <w:pPr>
        <w:spacing w:after="120"/>
      </w:pPr>
      <w:r>
        <w:t xml:space="preserve">RECON-AI integrates with the existing CPU reconciliation engine as a downstream analysis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 Point</w:t>
            </w:r>
          </w:p>
        </w:tc>
        <w:tc>
          <w:tcPr>
            <w:tcW w:type="dxa" w:w="3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Mechanism</w:t>
            </w:r>
          </w:p>
        </w:tc>
        <w:tc>
          <w:tcPr>
            <w:tcW w:type="dxa" w:w="3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Exchanged</w:t>
            </w:r>
          </w:p>
        </w:tc>
      </w:tr>
      <w:tr>
        <w:tc>
          <w:tcPr>
            <w:tcW w:type="dxa" w:w="2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b/>
                <w:bCs/>
                <w:sz w:val="20"/>
                <w:szCs w:val="20"/>
              </w:rPr>
              <w:t xml:space="preserve">CPU Recon Engine</w:t>
            </w:r>
          </w:p>
        </w:tc>
        <w:tc>
          <w:tcPr>
            <w:tcW w:type="dxa" w:w="3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Kafka events + REST API</w:t>
            </w:r>
          </w:p>
        </w:tc>
        <w:tc>
          <w:tcPr>
            <w:tcW w:type="dxa" w:w="35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Break alerts, matched pairs, variance data, fund configuration</w:t>
            </w:r>
          </w:p>
        </w:tc>
      </w:tr>
      <w:tr>
        <w:tc>
          <w:tcPr>
            <w:tcW w:type="dxa" w:w="240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b/>
                <w:bCs/>
                <w:sz w:val="20"/>
                <w:szCs w:val="20"/>
                <w:shd w:val="clear"/>
              </w:rPr>
              <w:t xml:space="preserve">ElectronDSL Rules</w:t>
            </w:r>
          </w:p>
        </w:tc>
        <w:tc>
          <w:tcPr>
            <w:tcW w:type="dxa" w:w="340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sz w:val="20"/>
                <w:szCs w:val="20"/>
                <w:shd w:val="clear"/>
              </w:rPr>
              <w:t xml:space="preserve">Graph ingestion of DSL rules</w:t>
            </w:r>
          </w:p>
        </w:tc>
        <w:tc>
          <w:tcPr>
            <w:tcW w:type="dxa" w:w="356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sz w:val="20"/>
                <w:szCs w:val="20"/>
                <w:shd w:val="clear"/>
              </w:rPr>
              <w:t xml:space="preserve">Accounting calculation rules, amortization schedules, accrual methods</w:t>
            </w:r>
          </w:p>
        </w:tc>
      </w:tr>
      <w:tr>
        <w:tc>
          <w:tcPr>
            <w:tcW w:type="dxa" w:w="2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b/>
                <w:bCs/>
                <w:sz w:val="20"/>
                <w:szCs w:val="20"/>
              </w:rPr>
              <w:t xml:space="preserve">Incumbent Data Feed</w:t>
            </w:r>
          </w:p>
        </w:tc>
        <w:tc>
          <w:tcPr>
            <w:tcW w:type="dxa" w:w="3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SFTP / API polling</w:t>
            </w:r>
          </w:p>
        </w:tc>
        <w:tc>
          <w:tcPr>
            <w:tcW w:type="dxa" w:w="35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Incumbent NAV, GL trial balance, position reports, transaction files</w:t>
            </w:r>
          </w:p>
        </w:tc>
      </w:tr>
      <w:tr>
        <w:tc>
          <w:tcPr>
            <w:tcW w:type="dxa" w:w="240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b/>
                <w:bCs/>
                <w:sz w:val="20"/>
                <w:szCs w:val="20"/>
                <w:shd w:val="clear"/>
              </w:rPr>
              <w:t xml:space="preserve">Source Systems</w:t>
            </w:r>
          </w:p>
        </w:tc>
        <w:tc>
          <w:tcPr>
            <w:tcW w:type="dxa" w:w="340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sz w:val="20"/>
                <w:szCs w:val="20"/>
                <w:shd w:val="clear"/>
              </w:rPr>
              <w:t xml:space="preserve">Read-only database connections</w:t>
            </w:r>
          </w:p>
        </w:tc>
        <w:tc>
          <w:tcPr>
            <w:tcW w:type="dxa" w:w="356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sz w:val="20"/>
                <w:szCs w:val="20"/>
                <w:shd w:val="clear"/>
              </w:rPr>
              <w:t xml:space="preserve">Eagle/InvestOne/Geneva raw data for cross-validation</w:t>
            </w:r>
          </w:p>
        </w:tc>
      </w:tr>
    </w:tbl>
    <w:p>
      <w:r>
        <w:br w:type="page"/>
      </w:r>
    </w:p>
    <w:p>
      <w:pPr>
        <w:pStyle w:val="Heading1"/>
      </w:pPr>
      <w:r>
        <w:t xml:space="preserve">6. UX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D4A84B" w:sz="3"/>
              <w:right w:val="none" w:sz="0"/>
            </w:tcBorders>
          </w:tcPr>
          <w:p>
            <w:pPr>
              <w:spacing w:after="0"/>
            </w:pPr>
          </w:p>
        </w:tc>
      </w:tr>
    </w:tbl>
    <w:p>
      <w:pPr>
        <w:spacing w:after="100"/>
      </w:pPr>
    </w:p>
    <w:p>
      <w:pPr>
        <w:pStyle w:val="Heading2"/>
      </w:pPr>
      <w:r>
        <w:t xml:space="preserve">6.1 Design Philosophy</w:t>
      </w:r>
    </w:p>
    <w:p>
      <w:pPr>
        <w:spacing w:after="120"/>
      </w:pPr>
      <w:r>
        <w:t xml:space="preserve">The UX follows a "progressive disclosure" principle – start with the highest-level summary and allow analysts to drill into any depth they choose. The interface should feel like having a conversation with an expert fund accountant who can instantly pull up any supporting detail.</w:t>
      </w:r>
    </w:p>
    <w:p>
      <w:pPr>
        <w:spacing w:after="100"/>
      </w:pPr>
    </w:p>
    <w:p>
      <w:pPr>
        <w:pStyle w:val="Heading2"/>
      </w:pPr>
      <w:r>
        <w:t xml:space="preserve">6.2 Primary Dashboard: Reconciliation Command Center</w:t>
      </w:r>
    </w:p>
    <w:p>
      <w:pPr>
        <w:spacing w:after="120"/>
      </w:pPr>
      <w:r>
        <w:t xml:space="preserve">The main dashboard provides a real-time view of all funds under parallel reconciliation:</w:t>
      </w:r>
    </w:p>
    <w:p>
      <w:pPr>
        <w:spacing w:after="100"/>
      </w:pPr>
    </w:p>
    <w:p>
      <w:pPr>
        <w:pStyle w:val="Heading3"/>
      </w:pPr>
      <w:r>
        <w:t xml:space="preserve">6.2.1 Fund NAV Grid (Top Section)</w:t>
      </w:r>
    </w:p>
    <w:p>
      <w:pPr>
        <w:pStyle w:val="ListParagraph"/>
        <w:numPr>
          <w:ilvl w:val="0"/>
          <w:numId w:val="9"/>
        </w:numPr>
        <w:spacing w:after="60"/>
      </w:pPr>
      <w:r>
        <w:rPr>
          <w:rFonts w:ascii="Arial" w:cs="Arial" w:eastAsia="Arial" w:hAnsi="Arial"/>
          <w:sz w:val="22"/>
          <w:szCs w:val="22"/>
        </w:rPr>
        <w:t xml:space="preserve">Sortable grid showing all funds with: Fund Name, NAV Date, CPU NAV, Incumbent NAV, Variance ($), Variance (%), Shares Outstanding, NAV/Share Variance</w:t>
      </w:r>
    </w:p>
    <w:p>
      <w:pPr>
        <w:pStyle w:val="ListParagraph"/>
        <w:numPr>
          <w:ilvl w:val="0"/>
          <w:numId w:val="9"/>
        </w:numPr>
        <w:spacing w:after="60"/>
      </w:pPr>
      <w:r>
        <w:rPr>
          <w:rFonts w:ascii="Arial" w:cs="Arial" w:eastAsia="Arial" w:hAnsi="Arial"/>
          <w:sz w:val="22"/>
          <w:szCs w:val="22"/>
        </w:rPr>
        <w:t xml:space="preserve">Color-coded status: Green (within tolerance), Amber (marginal break), Red (material break)</w:t>
      </w:r>
    </w:p>
    <w:p>
      <w:pPr>
        <w:pStyle w:val="ListParagraph"/>
        <w:numPr>
          <w:ilvl w:val="0"/>
          <w:numId w:val="9"/>
        </w:numPr>
        <w:spacing w:after="60"/>
      </w:pPr>
      <w:r>
        <w:rPr>
          <w:rFonts w:ascii="Arial" w:cs="Arial" w:eastAsia="Arial" w:hAnsi="Arial"/>
          <w:sz w:val="22"/>
          <w:szCs w:val="22"/>
        </w:rPr>
        <w:t xml:space="preserve">Sparkline showing 30-day variance trend per fund</w:t>
      </w:r>
    </w:p>
    <w:p>
      <w:pPr>
        <w:pStyle w:val="ListParagraph"/>
        <w:numPr>
          <w:ilvl w:val="0"/>
          <w:numId w:val="9"/>
        </w:numPr>
        <w:spacing w:after="60"/>
      </w:pPr>
      <w:r>
        <w:rPr>
          <w:rFonts w:ascii="Arial" w:cs="Arial" w:eastAsia="Arial" w:hAnsi="Arial"/>
          <w:sz w:val="22"/>
          <w:szCs w:val="22"/>
        </w:rPr>
        <w:t xml:space="preserve">Quick filters: Break Status, Fund Type (Equity/Fixed Income/Multi-Asset), Materiality Band</w:t>
      </w:r>
    </w:p>
    <w:p>
      <w:pPr>
        <w:spacing w:after="100"/>
      </w:pPr>
    </w:p>
    <w:p>
      <w:pPr>
        <w:pStyle w:val="Heading3"/>
      </w:pPr>
      <w:r>
        <w:t xml:space="preserve">6.2.2 Break Heatmap (Middle Section)</w:t>
      </w:r>
    </w:p>
    <w:p>
      <w:pPr>
        <w:spacing w:after="120"/>
      </w:pPr>
      <w:r>
        <w:t xml:space="preserve">A treemap visualization showing break distribution across GL categories for all funds. Each rectangle represents a GL bucket, sized by absolute variance and colored by break category (timing, methodology, data, pricing). Clicking a rectangle filters the grid and opens the drill-down view for that category.</w:t>
      </w:r>
    </w:p>
    <w:p>
      <w:pPr>
        <w:spacing w:after="100"/>
      </w:pPr>
    </w:p>
    <w:p>
      <w:pPr>
        <w:pStyle w:val="Heading3"/>
      </w:pPr>
      <w:r>
        <w:t xml:space="preserve">6.2.3 AI Analysis Feed (Right Panel)</w:t>
      </w:r>
    </w:p>
    <w:p>
      <w:pPr>
        <w:spacing w:after="120"/>
      </w:pPr>
      <w:r>
        <w:t xml:space="preserve">A real-time feed showing the AI agent’s analysis progress and findings:</w:t>
      </w:r>
    </w:p>
    <w:p>
      <w:pPr>
        <w:pStyle w:val="ListParagraph"/>
        <w:numPr>
          <w:ilvl w:val="0"/>
          <w:numId w:val="2"/>
        </w:numPr>
        <w:spacing w:after="60"/>
      </w:pPr>
      <w:r>
        <w:rPr>
          <w:rFonts w:ascii="Arial" w:cs="Arial" w:eastAsia="Arial" w:hAnsi="Arial"/>
          <w:sz w:val="22"/>
          <w:szCs w:val="22"/>
        </w:rPr>
        <w:t xml:space="preserve">Agent activity stream: "L1 GL Agent analyzing Fund ABC – identified accrued income variance of $12,450"</w:t>
      </w:r>
    </w:p>
    <w:p>
      <w:pPr>
        <w:pStyle w:val="ListParagraph"/>
        <w:numPr>
          <w:ilvl w:val="0"/>
          <w:numId w:val="2"/>
        </w:numPr>
        <w:spacing w:after="60"/>
      </w:pPr>
      <w:r>
        <w:rPr>
          <w:rFonts w:ascii="Arial" w:cs="Arial" w:eastAsia="Arial" w:hAnsi="Arial"/>
          <w:sz w:val="22"/>
          <w:szCs w:val="22"/>
        </w:rPr>
        <w:t xml:space="preserve">Completed analysis cards with confidence scores and one-line summaries</w:t>
      </w:r>
    </w:p>
    <w:p>
      <w:pPr>
        <w:pStyle w:val="ListParagraph"/>
        <w:numPr>
          <w:ilvl w:val="0"/>
          <w:numId w:val="2"/>
        </w:numPr>
        <w:spacing w:after="60"/>
      </w:pPr>
      <w:r>
        <w:rPr>
          <w:rFonts w:ascii="Arial" w:cs="Arial" w:eastAsia="Arial" w:hAnsi="Arial"/>
          <w:sz w:val="22"/>
          <w:szCs w:val="22"/>
        </w:rPr>
        <w:t xml:space="preserve">Click-to-expand for full reasoning chain</w:t>
      </w:r>
    </w:p>
    <w:p>
      <w:pPr>
        <w:pStyle w:val="ListParagraph"/>
        <w:numPr>
          <w:ilvl w:val="0"/>
          <w:numId w:val="2"/>
        </w:numPr>
        <w:spacing w:after="60"/>
      </w:pPr>
      <w:r>
        <w:rPr>
          <w:rFonts w:ascii="Arial" w:cs="Arial" w:eastAsia="Arial" w:hAnsi="Arial"/>
          <w:sz w:val="22"/>
          <w:szCs w:val="22"/>
        </w:rPr>
        <w:t xml:space="preserve">Thumbs up/down feedback for continuous learning</w:t>
      </w:r>
    </w:p>
    <w:p>
      <w:pPr>
        <w:spacing w:after="200"/>
      </w:pPr>
    </w:p>
    <w:p>
      <w:pPr>
        <w:pStyle w:val="Heading2"/>
      </w:pPr>
      <w:r>
        <w:t xml:space="preserve">6.3 Drill-Down Explorer</w:t>
      </w:r>
    </w:p>
    <w:p>
      <w:pPr>
        <w:spacing w:after="120"/>
      </w:pPr>
      <w:r>
        <w:t xml:space="preserve">When an analyst clicks on a specific fund break, the Drill-Down Explorer opens with a multi-panel view:</w:t>
      </w:r>
    </w:p>
    <w:p>
      <w:pPr>
        <w:spacing w:after="100"/>
      </w:pPr>
    </w:p>
    <w:p>
      <w:pPr>
        <w:pStyle w:val="Heading3"/>
      </w:pPr>
      <w:r>
        <w:t xml:space="preserve">6.3.1 Waterfall Chart (Top)</w:t>
      </w:r>
    </w:p>
    <w:p>
      <w:pPr>
        <w:spacing w:after="120"/>
      </w:pPr>
      <w:r>
        <w:t xml:space="preserve">A financial waterfall showing how the NAV variance decomposes: Starting point = Incumbent NAV, then each bar represents a contributing GL category (Investment at Market, +/- Accrued Income, +/- Payables, +/- Receivables, etc.), ending at CPU NAV. This instantly shows which accounting categories drive the break.</w:t>
      </w:r>
    </w:p>
    <w:p>
      <w:pPr>
        <w:spacing w:after="100"/>
      </w:pPr>
    </w:p>
    <w:p>
      <w:pPr>
        <w:pStyle w:val="Heading3"/>
      </w:pPr>
      <w:r>
        <w:t xml:space="preserve">6.3.2 Reconciliation Tree (Left Panel)</w:t>
      </w:r>
    </w:p>
    <w:p>
      <w:pPr>
        <w:spacing w:after="120"/>
      </w:pPr>
      <w:r>
        <w:t xml:space="preserve">An interactive tree structure representing the drill-down hierarchy: L0 NAV → L1 GL Accounts → L2 Positions → L3 Transactions. Nodes are colored by break status. Expanding a node shows its children with variance contribution. Leaf nodes (transactions) show side-by-side CPU vs Incumbent values.</w:t>
      </w:r>
    </w:p>
    <w:p>
      <w:pPr>
        <w:spacing w:after="100"/>
      </w:pPr>
    </w:p>
    <w:p>
      <w:pPr>
        <w:pStyle w:val="Heading3"/>
      </w:pPr>
      <w:r>
        <w:t xml:space="preserve">6.3.3 AI Narrative Panel (Right Panel)</w:t>
      </w:r>
    </w:p>
    <w:p>
      <w:pPr>
        <w:spacing w:after="120"/>
      </w:pPr>
      <w:r>
        <w:t xml:space="preserve">The agent’s analysis presented as a structured narrative:</w:t>
      </w:r>
    </w:p>
    <w:p>
      <w:pPr>
        <w:pStyle w:val="ListParagraph"/>
        <w:numPr>
          <w:ilvl w:val="0"/>
          <w:numId w:val="3"/>
        </w:numPr>
        <w:spacing w:after="60"/>
      </w:pPr>
      <w:r>
        <w:rPr>
          <w:rFonts w:ascii="Arial" w:cs="Arial" w:eastAsia="Arial" w:hAnsi="Arial"/>
          <w:sz w:val="22"/>
          <w:szCs w:val="22"/>
        </w:rPr>
        <w:t xml:space="preserve">Root Cause Summary: one-paragraph plain-language explanation</w:t>
      </w:r>
    </w:p>
    <w:p>
      <w:pPr>
        <w:pStyle w:val="ListParagraph"/>
        <w:numPr>
          <w:ilvl w:val="0"/>
          <w:numId w:val="3"/>
        </w:numPr>
        <w:spacing w:after="60"/>
      </w:pPr>
      <w:r>
        <w:rPr>
          <w:rFonts w:ascii="Arial" w:cs="Arial" w:eastAsia="Arial" w:hAnsi="Arial"/>
          <w:sz w:val="22"/>
          <w:szCs w:val="22"/>
        </w:rPr>
        <w:t xml:space="preserve">Evidence Chain: numbered steps showing the logical drill-down path</w:t>
      </w:r>
    </w:p>
    <w:p>
      <w:pPr>
        <w:pStyle w:val="ListParagraph"/>
        <w:numPr>
          <w:ilvl w:val="0"/>
          <w:numId w:val="3"/>
        </w:numPr>
        <w:spacing w:after="60"/>
      </w:pPr>
      <w:r>
        <w:rPr>
          <w:rFonts w:ascii="Arial" w:cs="Arial" w:eastAsia="Arial" w:hAnsi="Arial"/>
          <w:sz w:val="22"/>
          <w:szCs w:val="22"/>
        </w:rPr>
        <w:t xml:space="preserve">Confidence Score: percentage with explanation of uncertainty sources</w:t>
      </w:r>
    </w:p>
    <w:p>
      <w:pPr>
        <w:pStyle w:val="ListParagraph"/>
        <w:numPr>
          <w:ilvl w:val="0"/>
          <w:numId w:val="3"/>
        </w:numPr>
        <w:spacing w:after="60"/>
      </w:pPr>
      <w:r>
        <w:rPr>
          <w:rFonts w:ascii="Arial" w:cs="Arial" w:eastAsia="Arial" w:hAnsi="Arial"/>
          <w:sz w:val="22"/>
          <w:szCs w:val="22"/>
        </w:rPr>
        <w:t xml:space="preserve">Similar Historical Breaks: linked cards showing past breaks with same pattern</w:t>
      </w:r>
    </w:p>
    <w:p>
      <w:pPr>
        <w:pStyle w:val="ListParagraph"/>
        <w:numPr>
          <w:ilvl w:val="0"/>
          <w:numId w:val="3"/>
        </w:numPr>
        <w:spacing w:after="60"/>
      </w:pPr>
      <w:r>
        <w:rPr>
          <w:rFonts w:ascii="Arial" w:cs="Arial" w:eastAsia="Arial" w:hAnsi="Arial"/>
          <w:sz w:val="22"/>
          <w:szCs w:val="22"/>
        </w:rPr>
        <w:t xml:space="preserve">Recommended Actions: specific resolution steps with responsible team assignments</w:t>
      </w:r>
    </w:p>
    <w:p>
      <w:pPr>
        <w:spacing w:after="200"/>
      </w:pPr>
    </w:p>
    <w:p>
      <w:pPr>
        <w:pStyle w:val="Heading2"/>
      </w:pPr>
      <w:r>
        <w:t xml:space="preserve">6.4 Conversational Interface</w:t>
      </w:r>
    </w:p>
    <w:p>
      <w:pPr>
        <w:spacing w:after="120"/>
      </w:pPr>
      <w:r>
        <w:t xml:space="preserve">An embedded chat interface allows analysts to interrogate the AI agent in natural language:</w:t>
      </w:r>
    </w:p>
    <w:p>
      <w:pPr>
        <w:spacing w:after="60"/>
      </w:pPr>
    </w:p>
    <w:p>
      <w:pPr>
        <w:spacing w:after="120"/>
      </w:pPr>
      <w:r>
        <w:rPr>
          <w:b/>
          <w:bCs/>
        </w:rPr>
        <w:t xml:space="preserve">Example queries: </w:t>
      </w:r>
      <w:r>
        <w:t xml:space="preserve">"Why is Fund XYZ’s accrued income different?" • "Show me all corporate actions that affected this security last week" • "Compare the day count convention used by CPU vs Incumbent for this bond" • "Are there other funds with the same break pattern?" • "What was the resolution last time we saw this break type?"</w:t>
      </w:r>
    </w:p>
    <w:p>
      <w:pPr>
        <w:spacing w:after="100"/>
      </w:pPr>
    </w:p>
    <w:p>
      <w:pPr>
        <w:spacing w:after="120"/>
      </w:pPr>
      <w:r>
        <w:t xml:space="preserve">The chat interface maintains context from the current drill-down view, so the agent understands which fund, GL account, position, or transaction the analyst is referring to.</w:t>
      </w:r>
    </w:p>
    <w:p>
      <w:pPr>
        <w:spacing w:after="200"/>
      </w:pPr>
    </w:p>
    <w:p>
      <w:pPr>
        <w:pStyle w:val="Heading2"/>
      </w:pPr>
      <w:r>
        <w:t xml:space="preserve">6.5 Knowledge Graph Explorer</w:t>
      </w:r>
    </w:p>
    <w:p>
      <w:pPr>
        <w:spacing w:after="120"/>
      </w:pPr>
      <w:r>
        <w:t xml:space="preserve">A visual graph exploration tool for power users and the AI operations team:</w:t>
      </w:r>
    </w:p>
    <w:p>
      <w:pPr>
        <w:pStyle w:val="ListParagraph"/>
        <w:numPr>
          <w:ilvl w:val="0"/>
          <w:numId w:val="4"/>
        </w:numPr>
        <w:spacing w:after="60"/>
      </w:pPr>
      <w:r>
        <w:rPr>
          <w:rFonts w:ascii="Arial" w:cs="Arial" w:eastAsia="Arial" w:hAnsi="Arial"/>
          <w:sz w:val="22"/>
          <w:szCs w:val="22"/>
        </w:rPr>
        <w:t xml:space="preserve">Interactive node-link diagram showing entity relationships</w:t>
      </w:r>
    </w:p>
    <w:p>
      <w:pPr>
        <w:pStyle w:val="ListParagraph"/>
        <w:numPr>
          <w:ilvl w:val="0"/>
          <w:numId w:val="4"/>
        </w:numPr>
        <w:spacing w:after="60"/>
      </w:pPr>
      <w:r>
        <w:rPr>
          <w:rFonts w:ascii="Arial" w:cs="Arial" w:eastAsia="Arial" w:hAnsi="Arial"/>
          <w:sz w:val="22"/>
          <w:szCs w:val="22"/>
        </w:rPr>
        <w:t xml:space="preserve">Search by entity (fund, security, transaction) to see all connected nodes</w:t>
      </w:r>
    </w:p>
    <w:p>
      <w:pPr>
        <w:pStyle w:val="ListParagraph"/>
        <w:numPr>
          <w:ilvl w:val="0"/>
          <w:numId w:val="4"/>
        </w:numPr>
        <w:spacing w:after="60"/>
      </w:pPr>
      <w:r>
        <w:rPr>
          <w:rFonts w:ascii="Arial" w:cs="Arial" w:eastAsia="Arial" w:hAnsi="Arial"/>
          <w:sz w:val="22"/>
          <w:szCs w:val="22"/>
        </w:rPr>
        <w:t xml:space="preserve">Break pattern clusters highlighted as communities in the graph</w:t>
      </w:r>
    </w:p>
    <w:p>
      <w:pPr>
        <w:pStyle w:val="ListParagraph"/>
        <w:numPr>
          <w:ilvl w:val="0"/>
          <w:numId w:val="4"/>
        </w:numPr>
        <w:spacing w:after="60"/>
      </w:pPr>
      <w:r>
        <w:rPr>
          <w:rFonts w:ascii="Arial" w:cs="Arial" w:eastAsia="Arial" w:hAnsi="Arial"/>
          <w:sz w:val="22"/>
          <w:szCs w:val="22"/>
        </w:rPr>
        <w:t xml:space="preserve">Temporal view showing how break patterns evolve over time</w:t>
      </w:r>
    </w:p>
    <w:p>
      <w:pPr>
        <w:pStyle w:val="ListParagraph"/>
        <w:numPr>
          <w:ilvl w:val="0"/>
          <w:numId w:val="4"/>
        </w:numPr>
        <w:spacing w:after="60"/>
      </w:pPr>
      <w:r>
        <w:rPr>
          <w:rFonts w:ascii="Arial" w:cs="Arial" w:eastAsia="Arial" w:hAnsi="Arial"/>
          <w:sz w:val="22"/>
          <w:szCs w:val="22"/>
        </w:rPr>
        <w:t xml:space="preserve">Admin tools for curating graph knowledge (confirming/rejecting AI-identified patterns)</w:t>
      </w:r>
    </w:p>
    <w:p>
      <w:r>
        <w:br w:type="page"/>
      </w:r>
    </w:p>
    <w:p>
      <w:pPr>
        <w:pStyle w:val="Heading1"/>
      </w:pPr>
      <w:r>
        <w:t xml:space="preserve">7. Agent Workflow Deep Dive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D4A84B" w:sz="3"/>
              <w:right w:val="none" w:sz="0"/>
            </w:tcBorders>
          </w:tcPr>
          <w:p>
            <w:pPr>
              <w:spacing w:after="0"/>
            </w:pPr>
          </w:p>
        </w:tc>
      </w:tr>
    </w:tbl>
    <w:p>
      <w:pPr>
        <w:spacing w:after="100"/>
      </w:pPr>
    </w:p>
    <w:p>
      <w:pPr>
        <w:pStyle w:val="Heading2"/>
      </w:pPr>
      <w:r>
        <w:t xml:space="preserve">7.1 End-to-End Analysis Workflow</w:t>
      </w:r>
    </w:p>
    <w:p>
      <w:pPr>
        <w:spacing w:after="120"/>
      </w:pPr>
      <w:r>
        <w:t xml:space="preserve">This section details the complete workflow for analyzing a single fund NAV break, demonstrating the agent collaboration pattern: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1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69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&amp; Output</w:t>
            </w:r>
          </w:p>
        </w:tc>
      </w:tr>
      <w:tr>
        <w:tc>
          <w:tcPr>
            <w:tcW w:type="dxa" w:w="600"/>
            <w:tcBorders>
              <w:top w:val="single" w:color="D1D5DB" w:sz="1"/>
              <w:left w:val="single" w:color="D1D5DB" w:sz="1"/>
              <w:bottom w:val="single" w:color="D1D5DB" w:sz="1"/>
              <w:right w:val="single" w:color="D1D5DB" w:sz="1"/>
            </w:tcBorders>
            <w:shd w:fill="E8EFF8" w:color="auto" w:val="clear"/>
            <w:tcMar>
              <w:top w:type="dxa" w:w="80"/>
              <w:left w:type="dxa" w:w="120"/>
              <w:bottom w:type="dxa" w:w="80"/>
              <w:right w:type="dxa" w:w="120"/>
            </w:tcMar>
            <w:vAlign w:val="center"/>
          </w:tcPr>
          <w:p>
            <w:r>
              <w:rPr>
                <w:rFonts w:ascii="Arial" w:cs="Arial" w:eastAsia="Arial" w:hAnsi="Arial"/>
                <w:b/>
                <w:bCs/>
                <w:sz w:val="20"/>
                <w:szCs w:val="20"/>
                <w:shd w:val="clear"/>
              </w:rPr>
              <w:t xml:space="preserve">1</w:t>
            </w:r>
          </w:p>
        </w:tc>
        <w:tc>
          <w:tcPr>
            <w:tcW w:type="dxa" w:w="1800"/>
            <w:tcBorders>
              <w:top w:val="single" w:color="D1D5DB" w:sz="1"/>
              <w:left w:val="single" w:color="D1D5DB" w:sz="1"/>
              <w:bottom w:val="single" w:color="D1D5DB" w:sz="1"/>
              <w:right w:val="single" w:color="D1D5DB" w:sz="1"/>
            </w:tcBorders>
            <w:shd w:fill="E8EFF8" w:color="auto" w:val="clear"/>
            <w:tcMar>
              <w:top w:type="dxa" w:w="80"/>
              <w:left w:type="dxa" w:w="120"/>
              <w:bottom w:type="dxa" w:w="80"/>
              <w:right w:type="dxa" w:w="120"/>
            </w:tcMar>
            <w:vAlign w:val="center"/>
          </w:tcPr>
          <w:p>
            <w:r>
              <w:rPr>
                <w:rFonts w:ascii="Arial" w:cs="Arial" w:eastAsia="Arial" w:hAnsi="Arial"/>
                <w:sz w:val="20"/>
                <w:szCs w:val="20"/>
                <w:shd w:val="clear"/>
              </w:rPr>
              <w:t xml:space="preserve">Supervisor</w:t>
            </w:r>
          </w:p>
        </w:tc>
        <w:tc>
          <w:tcPr>
            <w:tcW w:type="dxa" w:w="6960"/>
            <w:tcBorders>
              <w:top w:val="single" w:color="D1D5DB" w:sz="1"/>
              <w:left w:val="single" w:color="D1D5DB" w:sz="1"/>
              <w:bottom w:val="single" w:color="D1D5DB" w:sz="1"/>
              <w:right w:val="single" w:color="D1D5DB" w:sz="1"/>
            </w:tcBorders>
            <w:shd w:fill="E8EFF8" w:color="auto" w:val="clear"/>
            <w:tcMar>
              <w:top w:type="dxa" w:w="80"/>
              <w:left w:type="dxa" w:w="120"/>
              <w:bottom w:type="dxa" w:w="80"/>
              <w:right w:type="dxa" w:w="120"/>
            </w:tcMar>
            <w:vAlign w:val="center"/>
          </w:tcPr>
          <w:p>
            <w:r>
              <w:rPr>
                <w:rFonts w:ascii="Arial" w:cs="Arial" w:eastAsia="Arial" w:hAnsi="Arial"/>
                <w:sz w:val="20"/>
                <w:szCs w:val="20"/>
                <w:shd w:val="clear"/>
              </w:rPr>
              <w:t xml:space="preserve">Receives break alert: Fund ABC, NAV Date 2026-02-05, Variance = -$24,500 (-0.012%). Queries pattern graph: "Has Fund ABC had similar breaks recently?" Dispatches to L0 Agent.</w:t>
            </w:r>
          </w:p>
        </w:tc>
      </w:tr>
      <w:tr>
        <w:tc>
          <w:tcPr>
            <w:tcW w:type="dxa" w:w="6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b/>
                <w:bCs/>
                <w:sz w:val="20"/>
                <w:szCs w:val="20"/>
              </w:rPr>
              <w:t xml:space="preserve">2</w:t>
            </w:r>
          </w:p>
        </w:tc>
        <w:tc>
          <w:tcPr>
            <w:tcW w:type="dxa" w:w="18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L0 NAV Agent</w:t>
            </w:r>
          </w:p>
        </w:tc>
        <w:tc>
          <w:tcPr>
            <w:tcW w:type="dxa" w:w="69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Pulls NAV breakdown: CPU Assets $204.5M vs Incumbent $204.52M (+$20K on assets); CPU Liabilities $2.1M vs Incumbent $2.095M (-$5K on liabilities). Concludes: primarily asset-driven break. Dispatches to L1 Agent with focus on asset-side GL accounts.</w:t>
            </w:r>
          </w:p>
        </w:tc>
      </w:tr>
      <w:tr>
        <w:tc>
          <w:tcPr>
            <w:tcW w:type="dxa" w:w="600"/>
            <w:tcBorders>
              <w:top w:val="single" w:color="D1D5DB" w:sz="1"/>
              <w:left w:val="single" w:color="D1D5DB" w:sz="1"/>
              <w:bottom w:val="single" w:color="D1D5DB" w:sz="1"/>
              <w:right w:val="single" w:color="D1D5DB" w:sz="1"/>
            </w:tcBorders>
            <w:shd w:fill="E8EFF8" w:color="auto" w:val="clear"/>
            <w:tcMar>
              <w:top w:type="dxa" w:w="80"/>
              <w:left w:type="dxa" w:w="120"/>
              <w:bottom w:type="dxa" w:w="80"/>
              <w:right w:type="dxa" w:w="120"/>
            </w:tcMar>
            <w:vAlign w:val="center"/>
          </w:tcPr>
          <w:p>
            <w:r>
              <w:rPr>
                <w:rFonts w:ascii="Arial" w:cs="Arial" w:eastAsia="Arial" w:hAnsi="Arial"/>
                <w:b/>
                <w:bCs/>
                <w:sz w:val="20"/>
                <w:szCs w:val="20"/>
                <w:shd w:val="clear"/>
              </w:rPr>
              <w:t xml:space="preserve">3</w:t>
            </w:r>
          </w:p>
        </w:tc>
        <w:tc>
          <w:tcPr>
            <w:tcW w:type="dxa" w:w="1800"/>
            <w:tcBorders>
              <w:top w:val="single" w:color="D1D5DB" w:sz="1"/>
              <w:left w:val="single" w:color="D1D5DB" w:sz="1"/>
              <w:bottom w:val="single" w:color="D1D5DB" w:sz="1"/>
              <w:right w:val="single" w:color="D1D5DB" w:sz="1"/>
            </w:tcBorders>
            <w:shd w:fill="E8EFF8" w:color="auto" w:val="clear"/>
            <w:tcMar>
              <w:top w:type="dxa" w:w="80"/>
              <w:left w:type="dxa" w:w="120"/>
              <w:bottom w:type="dxa" w:w="80"/>
              <w:right w:type="dxa" w:w="120"/>
            </w:tcMar>
            <w:vAlign w:val="center"/>
          </w:tcPr>
          <w:p>
            <w:r>
              <w:rPr>
                <w:rFonts w:ascii="Arial" w:cs="Arial" w:eastAsia="Arial" w:hAnsi="Arial"/>
                <w:sz w:val="20"/>
                <w:szCs w:val="20"/>
                <w:shd w:val="clear"/>
              </w:rPr>
              <w:t xml:space="preserve">L1 GL Agent</w:t>
            </w:r>
          </w:p>
        </w:tc>
        <w:tc>
          <w:tcPr>
            <w:tcW w:type="dxa" w:w="6960"/>
            <w:tcBorders>
              <w:top w:val="single" w:color="D1D5DB" w:sz="1"/>
              <w:left w:val="single" w:color="D1D5DB" w:sz="1"/>
              <w:bottom w:val="single" w:color="D1D5DB" w:sz="1"/>
              <w:right w:val="single" w:color="D1D5DB" w:sz="1"/>
            </w:tcBorders>
            <w:shd w:fill="E8EFF8" w:color="auto" w:val="clear"/>
            <w:tcMar>
              <w:top w:type="dxa" w:w="80"/>
              <w:left w:type="dxa" w:w="120"/>
              <w:bottom w:type="dxa" w:w="80"/>
              <w:right w:type="dxa" w:w="120"/>
            </w:tcMar>
            <w:vAlign w:val="center"/>
          </w:tcPr>
          <w:p>
            <w:r>
              <w:rPr>
                <w:rFonts w:ascii="Arial" w:cs="Arial" w:eastAsia="Arial" w:hAnsi="Arial"/>
                <w:sz w:val="20"/>
                <w:szCs w:val="20"/>
                <w:shd w:val="clear"/>
              </w:rPr>
              <w:t xml:space="preserve">Decomposes asset variance: Investment at Market = -$2K (immaterial), Accrued Interest = +$18K (significant), Receivables = +$4K (moderate). Focuses on Accrued Interest. Dispatches to L2 Agent for accrued interest sub-ledger.</w:t>
            </w:r>
          </w:p>
        </w:tc>
      </w:tr>
      <w:tr>
        <w:tc>
          <w:tcPr>
            <w:tcW w:type="dxa" w:w="6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b/>
                <w:bCs/>
                <w:sz w:val="20"/>
                <w:szCs w:val="20"/>
              </w:rPr>
              <w:t xml:space="preserve">4</w:t>
            </w:r>
          </w:p>
        </w:tc>
        <w:tc>
          <w:tcPr>
            <w:tcW w:type="dxa" w:w="18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L2 Sub-Ledger Agent</w:t>
            </w:r>
          </w:p>
        </w:tc>
        <w:tc>
          <w:tcPr>
            <w:tcW w:type="dxa" w:w="69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Within Accrued Interest: 245 positions compared. 3 positions show variance &gt; $1K. Position CUSIP 123456789 (Corporate Bond, 5.25% coupon) shows $15.2K variance. Invokes Accrual Specialist Agent. Dispatches to L3 for remaining $2.8K variance.</w:t>
            </w:r>
          </w:p>
        </w:tc>
      </w:tr>
      <w:tr>
        <w:tc>
          <w:tcPr>
            <w:tcW w:type="dxa" w:w="600"/>
            <w:tcBorders>
              <w:top w:val="single" w:color="D1D5DB" w:sz="1"/>
              <w:left w:val="single" w:color="D1D5DB" w:sz="1"/>
              <w:bottom w:val="single" w:color="D1D5DB" w:sz="1"/>
              <w:right w:val="single" w:color="D1D5DB" w:sz="1"/>
            </w:tcBorders>
            <w:shd w:fill="E8EFF8" w:color="auto" w:val="clear"/>
            <w:tcMar>
              <w:top w:type="dxa" w:w="80"/>
              <w:left w:type="dxa" w:w="120"/>
              <w:bottom w:type="dxa" w:w="80"/>
              <w:right w:type="dxa" w:w="120"/>
            </w:tcMar>
            <w:vAlign w:val="center"/>
          </w:tcPr>
          <w:p>
            <w:r>
              <w:rPr>
                <w:rFonts w:ascii="Arial" w:cs="Arial" w:eastAsia="Arial" w:hAnsi="Arial"/>
                <w:b/>
                <w:bCs/>
                <w:sz w:val="20"/>
                <w:szCs w:val="20"/>
                <w:shd w:val="clear"/>
              </w:rPr>
              <w:t xml:space="preserve">5</w:t>
            </w:r>
          </w:p>
        </w:tc>
        <w:tc>
          <w:tcPr>
            <w:tcW w:type="dxa" w:w="1800"/>
            <w:tcBorders>
              <w:top w:val="single" w:color="D1D5DB" w:sz="1"/>
              <w:left w:val="single" w:color="D1D5DB" w:sz="1"/>
              <w:bottom w:val="single" w:color="D1D5DB" w:sz="1"/>
              <w:right w:val="single" w:color="D1D5DB" w:sz="1"/>
            </w:tcBorders>
            <w:shd w:fill="E8EFF8" w:color="auto" w:val="clear"/>
            <w:tcMar>
              <w:top w:type="dxa" w:w="80"/>
              <w:left w:type="dxa" w:w="120"/>
              <w:bottom w:type="dxa" w:w="80"/>
              <w:right w:type="dxa" w:w="120"/>
            </w:tcMar>
            <w:vAlign w:val="center"/>
          </w:tcPr>
          <w:p>
            <w:r>
              <w:rPr>
                <w:rFonts w:ascii="Arial" w:cs="Arial" w:eastAsia="Arial" w:hAnsi="Arial"/>
                <w:sz w:val="20"/>
                <w:szCs w:val="20"/>
                <w:shd w:val="clear"/>
              </w:rPr>
              <w:t xml:space="preserve">Accrual Specialist</w:t>
            </w:r>
          </w:p>
        </w:tc>
        <w:tc>
          <w:tcPr>
            <w:tcW w:type="dxa" w:w="6960"/>
            <w:tcBorders>
              <w:top w:val="single" w:color="D1D5DB" w:sz="1"/>
              <w:left w:val="single" w:color="D1D5DB" w:sz="1"/>
              <w:bottom w:val="single" w:color="D1D5DB" w:sz="1"/>
              <w:right w:val="single" w:color="D1D5DB" w:sz="1"/>
            </w:tcBorders>
            <w:shd w:fill="E8EFF8" w:color="auto" w:val="clear"/>
            <w:tcMar>
              <w:top w:type="dxa" w:w="80"/>
              <w:left w:type="dxa" w:w="120"/>
              <w:bottom w:type="dxa" w:w="80"/>
              <w:right w:type="dxa" w:w="120"/>
            </w:tcMar>
            <w:vAlign w:val="center"/>
          </w:tcPr>
          <w:p>
            <w:r>
              <w:rPr>
                <w:rFonts w:ascii="Arial" w:cs="Arial" w:eastAsia="Arial" w:hAnsi="Arial"/>
                <w:sz w:val="20"/>
                <w:szCs w:val="20"/>
                <w:shd w:val="clear"/>
              </w:rPr>
              <w:t xml:space="preserve">Analyzes CUSIP 123456789: CPU uses ACT/ACT day count, Incumbent uses 30/360. For the current accrual period (Jan 15 - Feb 15), this creates a 2-day accrual difference on $50M face value at 5.25%. Calculated expected variance: $15,208. Match confirmed.</w:t>
            </w:r>
          </w:p>
        </w:tc>
      </w:tr>
      <w:tr>
        <w:tc>
          <w:tcPr>
            <w:tcW w:type="dxa" w:w="6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b/>
                <w:bCs/>
                <w:sz w:val="20"/>
                <w:szCs w:val="20"/>
              </w:rPr>
              <w:t xml:space="preserve">6</w:t>
            </w:r>
          </w:p>
        </w:tc>
        <w:tc>
          <w:tcPr>
            <w:tcW w:type="dxa" w:w="18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L3 Transaction Agent</w:t>
            </w:r>
          </w:p>
        </w:tc>
        <w:tc>
          <w:tcPr>
            <w:tcW w:type="dxa" w:w="69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For remaining $2.8K in Receivables: Identifies a dividend receivable for SEDOL XYZ123 present in CPU ($4,200) but absent in Incumbent. Cross-references: ex-date was Feb 4, record date Feb 5. Incumbent likely books on record date. Timing difference confirmed.</w:t>
            </w:r>
          </w:p>
        </w:tc>
      </w:tr>
      <w:tr>
        <w:tc>
          <w:tcPr>
            <w:tcW w:type="dxa" w:w="600"/>
            <w:tcBorders>
              <w:top w:val="single" w:color="D1D5DB" w:sz="1"/>
              <w:left w:val="single" w:color="D1D5DB" w:sz="1"/>
              <w:bottom w:val="single" w:color="D1D5DB" w:sz="1"/>
              <w:right w:val="single" w:color="D1D5DB" w:sz="1"/>
            </w:tcBorders>
            <w:shd w:fill="E8EFF8" w:color="auto" w:val="clear"/>
            <w:tcMar>
              <w:top w:type="dxa" w:w="80"/>
              <w:left w:type="dxa" w:w="120"/>
              <w:bottom w:type="dxa" w:w="80"/>
              <w:right w:type="dxa" w:w="120"/>
            </w:tcMar>
            <w:vAlign w:val="center"/>
          </w:tcPr>
          <w:p>
            <w:r>
              <w:rPr>
                <w:rFonts w:ascii="Arial" w:cs="Arial" w:eastAsia="Arial" w:hAnsi="Arial"/>
                <w:b/>
                <w:bCs/>
                <w:sz w:val="20"/>
                <w:szCs w:val="20"/>
                <w:shd w:val="clear"/>
              </w:rPr>
              <w:t xml:space="preserve">7</w:t>
            </w:r>
          </w:p>
        </w:tc>
        <w:tc>
          <w:tcPr>
            <w:tcW w:type="dxa" w:w="1800"/>
            <w:tcBorders>
              <w:top w:val="single" w:color="D1D5DB" w:sz="1"/>
              <w:left w:val="single" w:color="D1D5DB" w:sz="1"/>
              <w:bottom w:val="single" w:color="D1D5DB" w:sz="1"/>
              <w:right w:val="single" w:color="D1D5DB" w:sz="1"/>
            </w:tcBorders>
            <w:shd w:fill="E8EFF8" w:color="auto" w:val="clear"/>
            <w:tcMar>
              <w:top w:type="dxa" w:w="80"/>
              <w:left w:type="dxa" w:w="120"/>
              <w:bottom w:type="dxa" w:w="80"/>
              <w:right w:type="dxa" w:w="120"/>
            </w:tcMar>
            <w:vAlign w:val="center"/>
          </w:tcPr>
          <w:p>
            <w:r>
              <w:rPr>
                <w:rFonts w:ascii="Arial" w:cs="Arial" w:eastAsia="Arial" w:hAnsi="Arial"/>
                <w:sz w:val="20"/>
                <w:szCs w:val="20"/>
                <w:shd w:val="clear"/>
              </w:rPr>
              <w:t xml:space="preserve">Pattern Agent</w:t>
            </w:r>
          </w:p>
        </w:tc>
        <w:tc>
          <w:tcPr>
            <w:tcW w:type="dxa" w:w="6960"/>
            <w:tcBorders>
              <w:top w:val="single" w:color="D1D5DB" w:sz="1"/>
              <w:left w:val="single" w:color="D1D5DB" w:sz="1"/>
              <w:bottom w:val="single" w:color="D1D5DB" w:sz="1"/>
              <w:right w:val="single" w:color="D1D5DB" w:sz="1"/>
            </w:tcBorders>
            <w:shd w:fill="E8EFF8" w:color="auto" w:val="clear"/>
            <w:tcMar>
              <w:top w:type="dxa" w:w="80"/>
              <w:left w:type="dxa" w:w="120"/>
              <w:bottom w:type="dxa" w:w="80"/>
              <w:right w:type="dxa" w:w="120"/>
            </w:tcMar>
            <w:vAlign w:val="center"/>
          </w:tcPr>
          <w:p>
            <w:r>
              <w:rPr>
                <w:rFonts w:ascii="Arial" w:cs="Arial" w:eastAsia="Arial" w:hAnsi="Arial"/>
                <w:sz w:val="20"/>
                <w:szCs w:val="20"/>
                <w:shd w:val="clear"/>
              </w:rPr>
              <w:t xml:space="preserve">Matches break to two historical patterns: (a) Day count convention mismatch seen in 12 other fixed income funds, (b) Dividend receivable timing seen in 85% of equity/multi-asset funds. Both are known systematic differences.</w:t>
            </w:r>
          </w:p>
        </w:tc>
      </w:tr>
      <w:tr>
        <w:tc>
          <w:tcPr>
            <w:tcW w:type="dxa" w:w="6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b/>
                <w:bCs/>
                <w:sz w:val="20"/>
                <w:szCs w:val="20"/>
              </w:rPr>
              <w:t xml:space="preserve">8</w:t>
            </w:r>
          </w:p>
        </w:tc>
        <w:tc>
          <w:tcPr>
            <w:tcW w:type="dxa" w:w="18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Supervisor</w:t>
            </w:r>
          </w:p>
        </w:tc>
        <w:tc>
          <w:tcPr>
            <w:tcW w:type="dxa" w:w="69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Compiles final analysis: Two root causes identified with 96% confidence. Generates report with waterfall visualization, evidence chain, and recommended actions (update day count convention in ElectronDSL for CUSIP; document dividend timing as expected difference).</w:t>
            </w:r>
          </w:p>
        </w:tc>
      </w:tr>
    </w:tbl>
    <w:p>
      <w:pPr>
        <w:spacing w:after="200"/>
      </w:pPr>
    </w:p>
    <w:p>
      <w:pPr>
        <w:pStyle w:val="Heading2"/>
      </w:pPr>
      <w:r>
        <w:t xml:space="preserve">7.2 Human-in-the-Loop Escalation</w:t>
      </w:r>
    </w:p>
    <w:p>
      <w:pPr>
        <w:spacing w:after="120"/>
      </w:pPr>
      <w:r>
        <w:t xml:space="preserve">The system escalates to human analysts when:</w:t>
      </w:r>
    </w:p>
    <w:p>
      <w:pPr>
        <w:pStyle w:val="ListParagraph"/>
        <w:numPr>
          <w:ilvl w:val="0"/>
          <w:numId w:val="5"/>
        </w:numPr>
        <w:spacing w:after="60"/>
      </w:pPr>
      <w:r>
        <w:rPr>
          <w:rFonts w:ascii="Arial" w:cs="Arial" w:eastAsia="Arial" w:hAnsi="Arial"/>
          <w:sz w:val="22"/>
          <w:szCs w:val="22"/>
        </w:rPr>
        <w:t xml:space="preserve">Confidence score falls below 70% after full drill-down</w:t>
      </w:r>
    </w:p>
    <w:p>
      <w:pPr>
        <w:pStyle w:val="ListParagraph"/>
        <w:numPr>
          <w:ilvl w:val="0"/>
          <w:numId w:val="5"/>
        </w:numPr>
        <w:spacing w:after="60"/>
      </w:pPr>
      <w:r>
        <w:rPr>
          <w:rFonts w:ascii="Arial" w:cs="Arial" w:eastAsia="Arial" w:hAnsi="Arial"/>
          <w:sz w:val="22"/>
          <w:szCs w:val="22"/>
        </w:rPr>
        <w:t xml:space="preserve">Break involves a novel pattern not found in the knowledge graph</w:t>
      </w:r>
    </w:p>
    <w:p>
      <w:pPr>
        <w:pStyle w:val="ListParagraph"/>
        <w:numPr>
          <w:ilvl w:val="0"/>
          <w:numId w:val="5"/>
        </w:numPr>
        <w:spacing w:after="60"/>
      </w:pPr>
      <w:r>
        <w:rPr>
          <w:rFonts w:ascii="Arial" w:cs="Arial" w:eastAsia="Arial" w:hAnsi="Arial"/>
          <w:sz w:val="22"/>
          <w:szCs w:val="22"/>
        </w:rPr>
        <w:t xml:space="preserve">Break magnitude exceeds critical threshold (e.g., &gt; 0.05% of NAV)</w:t>
      </w:r>
    </w:p>
    <w:p>
      <w:pPr>
        <w:pStyle w:val="ListParagraph"/>
        <w:numPr>
          <w:ilvl w:val="0"/>
          <w:numId w:val="5"/>
        </w:numPr>
        <w:spacing w:after="60"/>
      </w:pPr>
      <w:r>
        <w:rPr>
          <w:rFonts w:ascii="Arial" w:cs="Arial" w:eastAsia="Arial" w:hAnsi="Arial"/>
          <w:sz w:val="22"/>
          <w:szCs w:val="22"/>
        </w:rPr>
        <w:t xml:space="preserve">Multiple conflicting root causes are identified with similar probability</w:t>
      </w:r>
    </w:p>
    <w:p>
      <w:pPr>
        <w:pStyle w:val="ListParagraph"/>
        <w:numPr>
          <w:ilvl w:val="0"/>
          <w:numId w:val="5"/>
        </w:numPr>
        <w:spacing w:after="60"/>
      </w:pPr>
      <w:r>
        <w:rPr>
          <w:rFonts w:ascii="Arial" w:cs="Arial" w:eastAsia="Arial" w:hAnsi="Arial"/>
          <w:sz w:val="22"/>
          <w:szCs w:val="22"/>
        </w:rPr>
        <w:t xml:space="preserve">Resolution requires a system configuration change (ElectronDSL rule update)</w:t>
      </w:r>
    </w:p>
    <w:p>
      <w:pPr>
        <w:spacing w:after="100"/>
      </w:pPr>
    </w:p>
    <w:p>
      <w:pPr>
        <w:spacing w:after="120"/>
      </w:pPr>
      <w:r>
        <w:t xml:space="preserve">Escalated items enter a review queue in the dashboard where analysts can accept, modify, or reject the AI’s analysis. Every human decision feeds back into the pattern graph, improving future analysis.</w:t>
      </w:r>
    </w:p>
    <w:p>
      <w:r>
        <w:br w:type="page"/>
      </w:r>
    </w:p>
    <w:p>
      <w:pPr>
        <w:pStyle w:val="Heading1"/>
      </w:pPr>
      <w:r>
        <w:t xml:space="preserve">8.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D4A84B" w:sz="3"/>
              <w:right w:val="none" w:sz="0"/>
            </w:tcBorders>
          </w:tcPr>
          <w:p>
            <w:pPr>
              <w:spacing w:after="0"/>
            </w:pP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200"/>
        <w:gridCol w:w="3160"/>
      </w:tblGrid>
      <w:tr>
        <w:tc>
          <w:tcPr>
            <w:tcW w:type="dxa" w:w="1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3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c>
          <w:tcPr>
            <w:tcW w:type="dxa" w:w="31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Success Criteria</w:t>
            </w:r>
          </w:p>
        </w:tc>
      </w:tr>
      <w:tr>
        <w:tc>
          <w:tcPr>
            <w:tcW w:type="dxa" w:w="1400"/>
            <w:tcBorders>
              <w:top w:val="single" w:color="D1D5DB" w:sz="1"/>
              <w:left w:val="single" w:color="D1D5DB" w:sz="1"/>
              <w:bottom w:val="single" w:color="D1D5DB" w:sz="1"/>
              <w:right w:val="single" w:color="D1D5DB" w:sz="1"/>
            </w:tcBorders>
            <w:shd w:fill="E8EFF8" w:color="auto" w:val="clear"/>
            <w:tcMar>
              <w:top w:type="dxa" w:w="80"/>
              <w:left w:type="dxa" w:w="120"/>
              <w:bottom w:type="dxa" w:w="80"/>
              <w:right w:type="dxa" w:w="120"/>
            </w:tcMar>
            <w:vAlign w:val="center"/>
          </w:tcPr>
          <w:p>
            <w:r>
              <w:rPr>
                <w:rFonts w:ascii="Arial" w:cs="Arial" w:eastAsia="Arial" w:hAnsi="Arial"/>
                <w:b/>
                <w:bCs/>
                <w:sz w:val="20"/>
                <w:szCs w:val="20"/>
                <w:shd w:val="clear"/>
              </w:rPr>
              <w:t xml:space="preserve">Phase 1: Foundation</w:t>
            </w:r>
          </w:p>
        </w:tc>
        <w:tc>
          <w:tcPr>
            <w:tcW w:type="dxa" w:w="1600"/>
            <w:tcBorders>
              <w:top w:val="single" w:color="D1D5DB" w:sz="1"/>
              <w:left w:val="single" w:color="D1D5DB" w:sz="1"/>
              <w:bottom w:val="single" w:color="D1D5DB" w:sz="1"/>
              <w:right w:val="single" w:color="D1D5DB" w:sz="1"/>
            </w:tcBorders>
            <w:shd w:fill="E8EFF8" w:color="auto" w:val="clear"/>
            <w:tcMar>
              <w:top w:type="dxa" w:w="80"/>
              <w:left w:type="dxa" w:w="120"/>
              <w:bottom w:type="dxa" w:w="80"/>
              <w:right w:type="dxa" w:w="120"/>
            </w:tcMar>
            <w:vAlign w:val="center"/>
          </w:tcPr>
          <w:p>
            <w:r>
              <w:rPr>
                <w:rFonts w:ascii="Arial" w:cs="Arial" w:eastAsia="Arial" w:hAnsi="Arial"/>
                <w:sz w:val="20"/>
                <w:szCs w:val="20"/>
                <w:shd w:val="clear"/>
              </w:rPr>
              <w:t xml:space="preserve">8 weeks</w:t>
            </w:r>
          </w:p>
        </w:tc>
        <w:tc>
          <w:tcPr>
            <w:tcW w:type="dxa" w:w="3200"/>
            <w:tcBorders>
              <w:top w:val="single" w:color="D1D5DB" w:sz="1"/>
              <w:left w:val="single" w:color="D1D5DB" w:sz="1"/>
              <w:bottom w:val="single" w:color="D1D5DB" w:sz="1"/>
              <w:right w:val="single" w:color="D1D5DB" w:sz="1"/>
            </w:tcBorders>
            <w:shd w:fill="E8EFF8" w:color="auto" w:val="clear"/>
            <w:tcMar>
              <w:top w:type="dxa" w:w="80"/>
              <w:left w:type="dxa" w:w="120"/>
              <w:bottom w:type="dxa" w:w="80"/>
              <w:right w:type="dxa" w:w="120"/>
            </w:tcMar>
            <w:vAlign w:val="center"/>
          </w:tcPr>
          <w:p>
            <w:r>
              <w:rPr>
                <w:rFonts w:ascii="Arial" w:cs="Arial" w:eastAsia="Arial" w:hAnsi="Arial"/>
                <w:sz w:val="20"/>
                <w:szCs w:val="20"/>
                <w:shd w:val="clear"/>
              </w:rPr>
              <w:t xml:space="preserve">Data ingestion pipeline, L0 NAV comparison agent, basic dashboard with fund grid, PostgreSQL schema for CPU/Incumbent data</w:t>
            </w:r>
          </w:p>
        </w:tc>
        <w:tc>
          <w:tcPr>
            <w:tcW w:type="dxa" w:w="3160"/>
            <w:tcBorders>
              <w:top w:val="single" w:color="D1D5DB" w:sz="1"/>
              <w:left w:val="single" w:color="D1D5DB" w:sz="1"/>
              <w:bottom w:val="single" w:color="D1D5DB" w:sz="1"/>
              <w:right w:val="single" w:color="D1D5DB" w:sz="1"/>
            </w:tcBorders>
            <w:shd w:fill="E8EFF8" w:color="auto" w:val="clear"/>
            <w:tcMar>
              <w:top w:type="dxa" w:w="80"/>
              <w:left w:type="dxa" w:w="120"/>
              <w:bottom w:type="dxa" w:w="80"/>
              <w:right w:type="dxa" w:w="120"/>
            </w:tcMar>
            <w:vAlign w:val="center"/>
          </w:tcPr>
          <w:p>
            <w:r>
              <w:rPr>
                <w:rFonts w:ascii="Arial" w:cs="Arial" w:eastAsia="Arial" w:hAnsi="Arial"/>
                <w:sz w:val="20"/>
                <w:szCs w:val="20"/>
                <w:shd w:val="clear"/>
              </w:rPr>
              <w:t xml:space="preserve">Automated NAV comparison for 10 pilot funds with &lt;5 min latency after NAV cycle</w:t>
            </w:r>
          </w:p>
        </w:tc>
      </w:tr>
      <w:tr>
        <w:tc>
          <w:tcPr>
            <w:tcW w:type="dxa" w:w="1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b/>
                <w:bCs/>
                <w:sz w:val="20"/>
                <w:szCs w:val="20"/>
              </w:rPr>
              <w:t xml:space="preserve">Phase 2: GL Drill-Down</w:t>
            </w:r>
          </w:p>
        </w:tc>
        <w:tc>
          <w:tcPr>
            <w:tcW w:type="dxa" w:w="16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6 weeks</w:t>
            </w:r>
          </w:p>
        </w:tc>
        <w:tc>
          <w:tcPr>
            <w:tcW w:type="dxa" w:w="3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L1 GL Agent, GL mapping graph in Neo4j, waterfall chart component, chart-of-accounts reconciliation between systems</w:t>
            </w:r>
          </w:p>
        </w:tc>
        <w:tc>
          <w:tcPr>
            <w:tcW w:type="dxa" w:w="31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Accurate GL-level decomposition for 90% of NAV breaks on pilot funds</w:t>
            </w:r>
          </w:p>
        </w:tc>
      </w:tr>
      <w:tr>
        <w:tc>
          <w:tcPr>
            <w:tcW w:type="dxa" w:w="1400"/>
            <w:tcBorders>
              <w:top w:val="single" w:color="D1D5DB" w:sz="1"/>
              <w:left w:val="single" w:color="D1D5DB" w:sz="1"/>
              <w:bottom w:val="single" w:color="D1D5DB" w:sz="1"/>
              <w:right w:val="single" w:color="D1D5DB" w:sz="1"/>
            </w:tcBorders>
            <w:shd w:fill="E8EFF8" w:color="auto" w:val="clear"/>
            <w:tcMar>
              <w:top w:type="dxa" w:w="80"/>
              <w:left w:type="dxa" w:w="120"/>
              <w:bottom w:type="dxa" w:w="80"/>
              <w:right w:type="dxa" w:w="120"/>
            </w:tcMar>
            <w:vAlign w:val="center"/>
          </w:tcPr>
          <w:p>
            <w:r>
              <w:rPr>
                <w:rFonts w:ascii="Arial" w:cs="Arial" w:eastAsia="Arial" w:hAnsi="Arial"/>
                <w:b/>
                <w:bCs/>
                <w:sz w:val="20"/>
                <w:szCs w:val="20"/>
                <w:shd w:val="clear"/>
              </w:rPr>
              <w:t xml:space="preserve">Phase 3: Sub-Ledger</w:t>
            </w:r>
          </w:p>
        </w:tc>
        <w:tc>
          <w:tcPr>
            <w:tcW w:type="dxa" w:w="1600"/>
            <w:tcBorders>
              <w:top w:val="single" w:color="D1D5DB" w:sz="1"/>
              <w:left w:val="single" w:color="D1D5DB" w:sz="1"/>
              <w:bottom w:val="single" w:color="D1D5DB" w:sz="1"/>
              <w:right w:val="single" w:color="D1D5DB" w:sz="1"/>
            </w:tcBorders>
            <w:shd w:fill="E8EFF8" w:color="auto" w:val="clear"/>
            <w:tcMar>
              <w:top w:type="dxa" w:w="80"/>
              <w:left w:type="dxa" w:w="120"/>
              <w:bottom w:type="dxa" w:w="80"/>
              <w:right w:type="dxa" w:w="120"/>
            </w:tcMar>
            <w:vAlign w:val="center"/>
          </w:tcPr>
          <w:p>
            <w:r>
              <w:rPr>
                <w:rFonts w:ascii="Arial" w:cs="Arial" w:eastAsia="Arial" w:hAnsi="Arial"/>
                <w:sz w:val="20"/>
                <w:szCs w:val="20"/>
                <w:shd w:val="clear"/>
              </w:rPr>
              <w:t xml:space="preserve">8 weeks</w:t>
            </w:r>
          </w:p>
        </w:tc>
        <w:tc>
          <w:tcPr>
            <w:tcW w:type="dxa" w:w="3200"/>
            <w:tcBorders>
              <w:top w:val="single" w:color="D1D5DB" w:sz="1"/>
              <w:left w:val="single" w:color="D1D5DB" w:sz="1"/>
              <w:bottom w:val="single" w:color="D1D5DB" w:sz="1"/>
              <w:right w:val="single" w:color="D1D5DB" w:sz="1"/>
            </w:tcBorders>
            <w:shd w:fill="E8EFF8" w:color="auto" w:val="clear"/>
            <w:tcMar>
              <w:top w:type="dxa" w:w="80"/>
              <w:left w:type="dxa" w:w="120"/>
              <w:bottom w:type="dxa" w:w="80"/>
              <w:right w:type="dxa" w:w="120"/>
            </w:tcMar>
            <w:vAlign w:val="center"/>
          </w:tcPr>
          <w:p>
            <w:r>
              <w:rPr>
                <w:rFonts w:ascii="Arial" w:cs="Arial" w:eastAsia="Arial" w:hAnsi="Arial"/>
                <w:sz w:val="20"/>
                <w:szCs w:val="20"/>
                <w:shd w:val="clear"/>
              </w:rPr>
              <w:t xml:space="preserve">L2 Sub-Ledger Agent, position matching engine, Accrual/Pricing/FX Specialist Agents, reconciliation tree component</w:t>
            </w:r>
          </w:p>
        </w:tc>
        <w:tc>
          <w:tcPr>
            <w:tcW w:type="dxa" w:w="3160"/>
            <w:tcBorders>
              <w:top w:val="single" w:color="D1D5DB" w:sz="1"/>
              <w:left w:val="single" w:color="D1D5DB" w:sz="1"/>
              <w:bottom w:val="single" w:color="D1D5DB" w:sz="1"/>
              <w:right w:val="single" w:color="D1D5DB" w:sz="1"/>
            </w:tcBorders>
            <w:shd w:fill="E8EFF8" w:color="auto" w:val="clear"/>
            <w:tcMar>
              <w:top w:type="dxa" w:w="80"/>
              <w:left w:type="dxa" w:w="120"/>
              <w:bottom w:type="dxa" w:w="80"/>
              <w:right w:type="dxa" w:w="120"/>
            </w:tcMar>
            <w:vAlign w:val="center"/>
          </w:tcPr>
          <w:p>
            <w:r>
              <w:rPr>
                <w:rFonts w:ascii="Arial" w:cs="Arial" w:eastAsia="Arial" w:hAnsi="Arial"/>
                <w:sz w:val="20"/>
                <w:szCs w:val="20"/>
                <w:shd w:val="clear"/>
              </w:rPr>
              <w:t xml:space="preserve">Position-level root cause identification for 80% of GL-level breaks</w:t>
            </w:r>
          </w:p>
        </w:tc>
      </w:tr>
      <w:tr>
        <w:tc>
          <w:tcPr>
            <w:tcW w:type="dxa" w:w="1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b/>
                <w:bCs/>
                <w:sz w:val="20"/>
                <w:szCs w:val="20"/>
              </w:rPr>
              <w:t xml:space="preserve">Phase 4: Transaction</w:t>
            </w:r>
          </w:p>
        </w:tc>
        <w:tc>
          <w:tcPr>
            <w:tcW w:type="dxa" w:w="16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8 weeks</w:t>
            </w:r>
          </w:p>
        </w:tc>
        <w:tc>
          <w:tcPr>
            <w:tcW w:type="dxa" w:w="3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L3 Transaction Agent, Corporate Action Agent, fuzzy transaction matching, conversational interface</w:t>
            </w:r>
          </w:p>
        </w:tc>
        <w:tc>
          <w:tcPr>
            <w:tcW w:type="dxa" w:w="31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Transaction-level root cause for 75% of sub-ledger breaks. End-to-end drill-down in &lt;10 minutes.</w:t>
            </w:r>
          </w:p>
        </w:tc>
      </w:tr>
      <w:tr>
        <w:tc>
          <w:tcPr>
            <w:tcW w:type="dxa" w:w="1400"/>
            <w:tcBorders>
              <w:top w:val="single" w:color="D1D5DB" w:sz="1"/>
              <w:left w:val="single" w:color="D1D5DB" w:sz="1"/>
              <w:bottom w:val="single" w:color="D1D5DB" w:sz="1"/>
              <w:right w:val="single" w:color="D1D5DB" w:sz="1"/>
            </w:tcBorders>
            <w:shd w:fill="E8EFF8" w:color="auto" w:val="clear"/>
            <w:tcMar>
              <w:top w:type="dxa" w:w="80"/>
              <w:left w:type="dxa" w:w="120"/>
              <w:bottom w:type="dxa" w:w="80"/>
              <w:right w:type="dxa" w:w="120"/>
            </w:tcMar>
            <w:vAlign w:val="center"/>
          </w:tcPr>
          <w:p>
            <w:r>
              <w:rPr>
                <w:rFonts w:ascii="Arial" w:cs="Arial" w:eastAsia="Arial" w:hAnsi="Arial"/>
                <w:b/>
                <w:bCs/>
                <w:sz w:val="20"/>
                <w:szCs w:val="20"/>
                <w:shd w:val="clear"/>
              </w:rPr>
              <w:t xml:space="preserve">Phase 5: Intelligence</w:t>
            </w:r>
          </w:p>
        </w:tc>
        <w:tc>
          <w:tcPr>
            <w:tcW w:type="dxa" w:w="1600"/>
            <w:tcBorders>
              <w:top w:val="single" w:color="D1D5DB" w:sz="1"/>
              <w:left w:val="single" w:color="D1D5DB" w:sz="1"/>
              <w:bottom w:val="single" w:color="D1D5DB" w:sz="1"/>
              <w:right w:val="single" w:color="D1D5DB" w:sz="1"/>
            </w:tcBorders>
            <w:shd w:fill="E8EFF8" w:color="auto" w:val="clear"/>
            <w:tcMar>
              <w:top w:type="dxa" w:w="80"/>
              <w:left w:type="dxa" w:w="120"/>
              <w:bottom w:type="dxa" w:w="80"/>
              <w:right w:type="dxa" w:w="120"/>
            </w:tcMar>
            <w:vAlign w:val="center"/>
          </w:tcPr>
          <w:p>
            <w:r>
              <w:rPr>
                <w:rFonts w:ascii="Arial" w:cs="Arial" w:eastAsia="Arial" w:hAnsi="Arial"/>
                <w:sz w:val="20"/>
                <w:szCs w:val="20"/>
                <w:shd w:val="clear"/>
              </w:rPr>
              <w:t xml:space="preserve">6 weeks</w:t>
            </w:r>
          </w:p>
        </w:tc>
        <w:tc>
          <w:tcPr>
            <w:tcW w:type="dxa" w:w="3200"/>
            <w:tcBorders>
              <w:top w:val="single" w:color="D1D5DB" w:sz="1"/>
              <w:left w:val="single" w:color="D1D5DB" w:sz="1"/>
              <w:bottom w:val="single" w:color="D1D5DB" w:sz="1"/>
              <w:right w:val="single" w:color="D1D5DB" w:sz="1"/>
            </w:tcBorders>
            <w:shd w:fill="E8EFF8" w:color="auto" w:val="clear"/>
            <w:tcMar>
              <w:top w:type="dxa" w:w="80"/>
              <w:left w:type="dxa" w:w="120"/>
              <w:bottom w:type="dxa" w:w="80"/>
              <w:right w:type="dxa" w:w="120"/>
            </w:tcMar>
            <w:vAlign w:val="center"/>
          </w:tcPr>
          <w:p>
            <w:r>
              <w:rPr>
                <w:rFonts w:ascii="Arial" w:cs="Arial" w:eastAsia="Arial" w:hAnsi="Arial"/>
                <w:sz w:val="20"/>
                <w:szCs w:val="20"/>
                <w:shd w:val="clear"/>
              </w:rPr>
              <w:t xml:space="preserve">Pattern Agent, break pattern graph, GraphRAG community detection, knowledge graph explorer, feedback loop integration</w:t>
            </w:r>
          </w:p>
        </w:tc>
        <w:tc>
          <w:tcPr>
            <w:tcW w:type="dxa" w:w="3160"/>
            <w:tcBorders>
              <w:top w:val="single" w:color="D1D5DB" w:sz="1"/>
              <w:left w:val="single" w:color="D1D5DB" w:sz="1"/>
              <w:bottom w:val="single" w:color="D1D5DB" w:sz="1"/>
              <w:right w:val="single" w:color="D1D5DB" w:sz="1"/>
            </w:tcBorders>
            <w:shd w:fill="E8EFF8" w:color="auto" w:val="clear"/>
            <w:tcMar>
              <w:top w:type="dxa" w:w="80"/>
              <w:left w:type="dxa" w:w="120"/>
              <w:bottom w:type="dxa" w:w="80"/>
              <w:right w:type="dxa" w:w="120"/>
            </w:tcMar>
            <w:vAlign w:val="center"/>
          </w:tcPr>
          <w:p>
            <w:r>
              <w:rPr>
                <w:rFonts w:ascii="Arial" w:cs="Arial" w:eastAsia="Arial" w:hAnsi="Arial"/>
                <w:sz w:val="20"/>
                <w:szCs w:val="20"/>
                <w:shd w:val="clear"/>
              </w:rPr>
              <w:t xml:space="preserve">Pattern recognition covering 60% of recurring break types. Mean confidence score &gt; 85%.</w:t>
            </w:r>
          </w:p>
        </w:tc>
      </w:tr>
      <w:tr>
        <w:tc>
          <w:tcPr>
            <w:tcW w:type="dxa" w:w="1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b/>
                <w:bCs/>
                <w:sz w:val="20"/>
                <w:szCs w:val="20"/>
              </w:rPr>
              <w:t xml:space="preserve">Phase 6: Scale</w:t>
            </w:r>
          </w:p>
        </w:tc>
        <w:tc>
          <w:tcPr>
            <w:tcW w:type="dxa" w:w="16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4 weeks</w:t>
            </w:r>
          </w:p>
        </w:tc>
        <w:tc>
          <w:tcPr>
            <w:tcW w:type="dxa" w:w="3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Expand to all funds, performance optimization, production hardening, operational runbook, monitoring dashboards</w:t>
            </w:r>
          </w:p>
        </w:tc>
        <w:tc>
          <w:tcPr>
            <w:tcW w:type="dxa" w:w="31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Full fund coverage. Analysis throughput &gt; 100 funds/hour. 99.5% uptime.</w:t>
            </w:r>
          </w:p>
        </w:tc>
      </w:tr>
    </w:tbl>
    <w:p>
      <w:pPr>
        <w:spacing w:after="200"/>
      </w:pPr>
    </w:p>
    <w:p>
      <w:pPr>
        <w:spacing w:after="120"/>
      </w:pPr>
      <w:r>
        <w:rPr>
          <w:b/>
          <w:bCs/>
        </w:rPr>
        <w:t xml:space="preserve">Total estimated timeline: 40 weeks (10 months). </w:t>
      </w:r>
      <w:r>
        <w:t xml:space="preserve">The phased approach ensures value delivery from Phase 1, with each subsequent phase expanding analytical depth and coverage.</w:t>
      </w:r>
    </w:p>
    <w:p>
      <w:r>
        <w:br w:type="page"/>
      </w:r>
    </w:p>
    <w:p>
      <w:pPr>
        <w:pStyle w:val="Heading1"/>
      </w:pPr>
      <w:r>
        <w:t xml:space="preserve">9. Security &amp; Compliance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D4A84B" w:sz="3"/>
              <w:right w:val="none" w:sz="0"/>
            </w:tcBorders>
          </w:tcPr>
          <w:p>
            <w:pPr>
              <w:spacing w:after="0"/>
            </w:pPr>
          </w:p>
        </w:tc>
      </w:tr>
    </w:tbl>
    <w:p>
      <w:pPr>
        <w:spacing w:after="100"/>
      </w:pPr>
    </w:p>
    <w:p>
      <w:pPr>
        <w:pStyle w:val="ListParagraph"/>
        <w:numPr>
          <w:ilvl w:val="0"/>
          <w:numId w:val="6"/>
        </w:numPr>
        <w:spacing w:after="60"/>
      </w:pPr>
      <w:r>
        <w:rPr>
          <w:rFonts w:ascii="Arial" w:cs="Arial" w:eastAsia="Arial" w:hAnsi="Arial"/>
          <w:sz w:val="22"/>
          <w:szCs w:val="22"/>
        </w:rPr>
        <w:t xml:space="preserve">Data Classification: All fund data is treated as Confidential. LLM interactions use enterprise-grade deployments (Azure OpenAI / AWS Bedrock) with no data retention.</w:t>
      </w:r>
    </w:p>
    <w:p>
      <w:pPr>
        <w:pStyle w:val="ListParagraph"/>
        <w:numPr>
          <w:ilvl w:val="0"/>
          <w:numId w:val="6"/>
        </w:numPr>
        <w:spacing w:after="60"/>
      </w:pPr>
      <w:r>
        <w:rPr>
          <w:rFonts w:ascii="Arial" w:cs="Arial" w:eastAsia="Arial" w:hAnsi="Arial"/>
          <w:sz w:val="22"/>
          <w:szCs w:val="22"/>
        </w:rPr>
        <w:t xml:space="preserve">Access Control: Role-based access aligned with existing CPU platform permissions. Analysts see only their assigned fund families.</w:t>
      </w:r>
    </w:p>
    <w:p>
      <w:pPr>
        <w:pStyle w:val="ListParagraph"/>
        <w:numPr>
          <w:ilvl w:val="0"/>
          <w:numId w:val="6"/>
        </w:numPr>
        <w:spacing w:after="60"/>
      </w:pPr>
      <w:r>
        <w:rPr>
          <w:rFonts w:ascii="Arial" w:cs="Arial" w:eastAsia="Arial" w:hAnsi="Arial"/>
          <w:sz w:val="22"/>
          <w:szCs w:val="22"/>
        </w:rPr>
        <w:t xml:space="preserve">Audit Trail: Every agent decision, graph query, and analysis step is logged with timestamps, creating a complete audit trail for regulatory review.</w:t>
      </w:r>
    </w:p>
    <w:p>
      <w:pPr>
        <w:pStyle w:val="ListParagraph"/>
        <w:numPr>
          <w:ilvl w:val="0"/>
          <w:numId w:val="6"/>
        </w:numPr>
        <w:spacing w:after="60"/>
      </w:pPr>
      <w:r>
        <w:rPr>
          <w:rFonts w:ascii="Arial" w:cs="Arial" w:eastAsia="Arial" w:hAnsi="Arial"/>
          <w:sz w:val="22"/>
          <w:szCs w:val="22"/>
        </w:rPr>
        <w:t xml:space="preserve">Model Governance: LLM prompts are version-controlled. Output validation rules ensure no hallucinated transaction data. All numerical comparisons are deterministic (agents use tools, not LLM arithmetic).</w:t>
      </w:r>
    </w:p>
    <w:p>
      <w:pPr>
        <w:pStyle w:val="ListParagraph"/>
        <w:numPr>
          <w:ilvl w:val="0"/>
          <w:numId w:val="6"/>
        </w:numPr>
        <w:spacing w:after="60"/>
      </w:pPr>
      <w:r>
        <w:rPr>
          <w:rFonts w:ascii="Arial" w:cs="Arial" w:eastAsia="Arial" w:hAnsi="Arial"/>
          <w:sz w:val="22"/>
          <w:szCs w:val="22"/>
        </w:rPr>
        <w:t xml:space="preserve">PII/PHI: No PII is processed. Fund-level data contains no personal investor information in the reconciliation context.</w:t>
      </w:r>
    </w:p>
    <w:p>
      <w:pPr>
        <w:pStyle w:val="ListParagraph"/>
        <w:numPr>
          <w:ilvl w:val="0"/>
          <w:numId w:val="6"/>
        </w:numPr>
        <w:spacing w:after="60"/>
      </w:pPr>
      <w:r>
        <w:rPr>
          <w:rFonts w:ascii="Arial" w:cs="Arial" w:eastAsia="Arial" w:hAnsi="Arial"/>
          <w:sz w:val="22"/>
          <w:szCs w:val="22"/>
        </w:rPr>
        <w:t xml:space="preserve">Regulatory: Analysis reports include model version, confidence scores, and human review status to satisfy SOC 2 and regulatory examination requirements.</w:t>
      </w:r>
    </w:p>
    <w:p>
      <w:r>
        <w:br w:type="page"/>
      </w:r>
    </w:p>
    <w:p>
      <w:pPr>
        <w:pStyle w:val="Heading1"/>
      </w:pPr>
      <w:r>
        <w:t xml:space="preserve">10. Success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D4A84B" w:sz="3"/>
              <w:right w:val="none" w:sz="0"/>
            </w:tcBorders>
          </w:tcPr>
          <w:p>
            <w:pPr>
              <w:spacing w:after="0"/>
            </w:pP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000"/>
        <w:gridCol w:w="2160"/>
      </w:tblGrid>
      <w:tr>
        <w:tc>
          <w:tcPr>
            <w:tcW w:type="dxa" w:w="3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State</w:t>
            </w:r>
          </w:p>
        </w:tc>
        <w:tc>
          <w:tcPr>
            <w:tcW w:type="dxa" w:w="2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1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30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b/>
                <w:bCs/>
                <w:sz w:val="20"/>
                <w:szCs w:val="20"/>
              </w:rPr>
              <w:t xml:space="preserve">Time to Root Cause (per fund)</w:t>
            </w:r>
          </w:p>
        </w:tc>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4-8 hours manual</w:t>
            </w:r>
          </w:p>
        </w:tc>
        <w:tc>
          <w:tcPr>
            <w:tcW w:type="dxa" w:w="20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&lt;15 minutes</w:t>
            </w:r>
          </w:p>
        </w:tc>
        <w:tc>
          <w:tcPr>
            <w:tcW w:type="dxa" w:w="21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Median TTRC</w:t>
            </w:r>
          </w:p>
        </w:tc>
      </w:tr>
      <w:tr>
        <w:tc>
          <w:tcPr>
            <w:tcW w:type="dxa" w:w="300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b/>
                <w:bCs/>
                <w:sz w:val="20"/>
                <w:szCs w:val="20"/>
                <w:shd w:val="clear"/>
              </w:rPr>
              <w:t xml:space="preserve">Root Cause Accuracy</w:t>
            </w:r>
          </w:p>
        </w:tc>
        <w:tc>
          <w:tcPr>
            <w:tcW w:type="dxa" w:w="220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sz w:val="20"/>
                <w:szCs w:val="20"/>
                <w:shd w:val="clear"/>
              </w:rPr>
              <w:t xml:space="preserve">N/A (manual)</w:t>
            </w:r>
          </w:p>
        </w:tc>
        <w:tc>
          <w:tcPr>
            <w:tcW w:type="dxa" w:w="200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sz w:val="20"/>
                <w:szCs w:val="20"/>
                <w:shd w:val="clear"/>
              </w:rPr>
              <w:t xml:space="preserve">&gt;85%</w:t>
            </w:r>
          </w:p>
        </w:tc>
        <w:tc>
          <w:tcPr>
            <w:tcW w:type="dxa" w:w="216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sz w:val="20"/>
                <w:szCs w:val="20"/>
                <w:shd w:val="clear"/>
              </w:rPr>
              <w:t xml:space="preserve">Human review validation</w:t>
            </w:r>
          </w:p>
        </w:tc>
      </w:tr>
      <w:tr>
        <w:tc>
          <w:tcPr>
            <w:tcW w:type="dxa" w:w="30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b/>
                <w:bCs/>
                <w:sz w:val="20"/>
                <w:szCs w:val="20"/>
              </w:rPr>
              <w:t xml:space="preserve">Break Pattern Coverage</w:t>
            </w:r>
          </w:p>
        </w:tc>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0% automated</w:t>
            </w:r>
          </w:p>
        </w:tc>
        <w:tc>
          <w:tcPr>
            <w:tcW w:type="dxa" w:w="20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&gt;60% recognized</w:t>
            </w:r>
          </w:p>
        </w:tc>
        <w:tc>
          <w:tcPr>
            <w:tcW w:type="dxa" w:w="21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Known vs novel breaks</w:t>
            </w:r>
          </w:p>
        </w:tc>
      </w:tr>
      <w:tr>
        <w:tc>
          <w:tcPr>
            <w:tcW w:type="dxa" w:w="300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b/>
                <w:bCs/>
                <w:sz w:val="20"/>
                <w:szCs w:val="20"/>
                <w:shd w:val="clear"/>
              </w:rPr>
              <w:t xml:space="preserve">Analyst Capacity</w:t>
            </w:r>
          </w:p>
        </w:tc>
        <w:tc>
          <w:tcPr>
            <w:tcW w:type="dxa" w:w="220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sz w:val="20"/>
                <w:szCs w:val="20"/>
                <w:shd w:val="clear"/>
              </w:rPr>
              <w:t xml:space="preserve">20-30 funds/analyst/day</w:t>
            </w:r>
          </w:p>
        </w:tc>
        <w:tc>
          <w:tcPr>
            <w:tcW w:type="dxa" w:w="200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sz w:val="20"/>
                <w:szCs w:val="20"/>
                <w:shd w:val="clear"/>
              </w:rPr>
              <w:t xml:space="preserve">100+ funds/analyst/day</w:t>
            </w:r>
          </w:p>
        </w:tc>
        <w:tc>
          <w:tcPr>
            <w:tcW w:type="dxa" w:w="2160"/>
            <w:tcBorders>
              <w:top w:val="single" w:color="D1D5DB" w:sz="1"/>
              <w:left w:val="single" w:color="D1D5DB" w:sz="1"/>
              <w:bottom w:val="single" w:color="D1D5DB" w:sz="1"/>
              <w:right w:val="single" w:color="D1D5DB" w:sz="1"/>
            </w:tcBorders>
            <w:shd w:fill="F3F4F6" w:color="auto" w:val="clear"/>
            <w:tcMar>
              <w:top w:type="dxa" w:w="80"/>
              <w:left w:type="dxa" w:w="120"/>
              <w:bottom w:type="dxa" w:w="80"/>
              <w:right w:type="dxa" w:w="120"/>
            </w:tcMar>
            <w:vAlign w:val="center"/>
          </w:tcPr>
          <w:p>
            <w:r>
              <w:rPr>
                <w:rFonts w:ascii="Arial" w:cs="Arial" w:eastAsia="Arial" w:hAnsi="Arial"/>
                <w:sz w:val="20"/>
                <w:szCs w:val="20"/>
                <w:shd w:val="clear"/>
              </w:rPr>
              <w:t xml:space="preserve">Funds analyzed per FTE</w:t>
            </w:r>
          </w:p>
        </w:tc>
      </w:tr>
      <w:tr>
        <w:tc>
          <w:tcPr>
            <w:tcW w:type="dxa" w:w="30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b/>
                <w:bCs/>
                <w:sz w:val="20"/>
                <w:szCs w:val="20"/>
              </w:rPr>
              <w:t xml:space="preserve">Parallel Phase Duration</w:t>
            </w:r>
          </w:p>
        </w:tc>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Bottleneck on analysis</w:t>
            </w:r>
          </w:p>
        </w:tc>
        <w:tc>
          <w:tcPr>
            <w:tcW w:type="dxa" w:w="20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30% reduction</w:t>
            </w:r>
          </w:p>
        </w:tc>
        <w:tc>
          <w:tcPr>
            <w:tcW w:type="dxa" w:w="21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vAlign w:val="center"/>
          </w:tcPr>
          <w:p>
            <w:r>
              <w:rPr>
                <w:rFonts w:ascii="Arial" w:cs="Arial" w:eastAsia="Arial" w:hAnsi="Arial"/>
                <w:sz w:val="20"/>
                <w:szCs w:val="20"/>
              </w:rPr>
              <w:t xml:space="preserve">Calendar days to sign-off</w:t>
            </w:r>
          </w:p>
        </w:tc>
      </w:tr>
    </w:tbl>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D4A84B" w:sz="3"/>
              <w:right w:val="none" w:sz="0"/>
            </w:tcBorders>
          </w:tcPr>
          <w:p>
            <w:pPr>
              <w:spacing w:after="0"/>
            </w:pPr>
          </w:p>
        </w:tc>
      </w:tr>
    </w:tbl>
    <w:p>
      <w:pPr>
        <w:spacing w:after="200"/>
      </w:pPr>
    </w:p>
    <w:p>
      <w:pPr>
        <w:jc w:val="center"/>
      </w:pPr>
      <w:r>
        <w:rPr>
          <w:rFonts w:ascii="Arial" w:cs="Arial" w:eastAsia="Arial" w:hAnsi="Arial"/>
          <w:b/>
          <w:bCs/>
          <w:color w:val="6B7280"/>
          <w:sz w:val="22"/>
          <w:szCs w:val="22"/>
        </w:rPr>
        <w:t xml:space="preserve">END OF DOCUMENT</w:t>
      </w:r>
    </w:p>
    <w:p>
      <w:pPr>
        <w:spacing w:after="100"/>
      </w:pPr>
    </w:p>
    <w:p>
      <w:pPr>
        <w:jc w:val="center"/>
      </w:pPr>
      <w:r>
        <w:rPr>
          <w:rFonts w:ascii="Arial" w:cs="Arial" w:eastAsia="Arial" w:hAnsi="Arial"/>
          <w:i/>
          <w:iCs/>
          <w:color w:val="6B7280"/>
          <w:sz w:val="20"/>
          <w:szCs w:val="20"/>
        </w:rPr>
        <w:t xml:space="preserve">RECON-AI Architecture Specification v1.0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8"/>
        <w:szCs w:val="18"/>
      </w:rPr>
      <w:t xml:space="preserve">RECON-AI Architecture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8"/>
    <w:lvlOverride w:ilvl="0">
      <w:startOverride w:val="1"/>
    </w:lvlOverride>
  </w:num>
  <w:num w:numId="5">
    <w:abstractNumId w:val="9"/>
    <w:lvlOverride w:ilvl="0">
      <w:startOverride w:val="1"/>
    </w:lvlOverride>
  </w:num>
  <w:num w:numId="6">
    <w:abstractNumId w:val="10"/>
    <w:lvlOverride w:ilvl="0">
      <w:startOverride w:val="1"/>
    </w:lvlOverride>
  </w:num>
  <w:num w:numId="7">
    <w:abstractNumId w:val="11"/>
    <w:lvlOverride w:ilvl="0">
      <w:startOverride w:val="1"/>
    </w:lvlOverride>
  </w:num>
  <w:num w:numId="8">
    <w:abstractNumId w:val="3"/>
    <w:lvlOverride w:ilvl="0">
      <w:startOverride w:val="1"/>
    </w:lvlOverride>
  </w:num>
  <w:num w:numId="9">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CB8"/>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2026-02-06T09:46:45.385Z</dcterms:created>
  <dcterms:modified xsi:type="dcterms:W3CDTF">2026-02-06T09:46:45.386Z</dcterms:modified>
</cp:coreProperties>
</file>

<file path=docProps/custom.xml><?xml version="1.0" encoding="utf-8"?>
<Properties xmlns="http://schemas.openxmlformats.org/officeDocument/2006/custom-properties" xmlns:vt="http://schemas.openxmlformats.org/officeDocument/2006/docPropsVTypes"/>
</file>