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8FA" w:rsidRPr="00083E3E" w:rsidRDefault="003448FA" w:rsidP="003448FA">
      <w:pPr>
        <w:ind w:firstLine="360"/>
        <w:jc w:val="center"/>
        <w:rPr>
          <w:sz w:val="28"/>
          <w:szCs w:val="28"/>
        </w:rPr>
      </w:pPr>
      <w:r w:rsidRPr="00083E3E">
        <w:rPr>
          <w:sz w:val="28"/>
          <w:szCs w:val="28"/>
        </w:rPr>
        <w:t>"Псевдомодуляційна оптична спектроскопія поверхні напівпровідникових структур"</w:t>
      </w:r>
    </w:p>
    <w:p w:rsidR="00977CF8" w:rsidRDefault="00977CF8">
      <w:pPr>
        <w:spacing w:after="240"/>
        <w:jc w:val="both"/>
        <w:rPr>
          <w:sz w:val="28"/>
          <w:szCs w:val="28"/>
          <w:lang w:val="en-US"/>
        </w:rPr>
      </w:pPr>
    </w:p>
    <w:p w:rsidR="00083E3E" w:rsidRDefault="00083E3E" w:rsidP="00083E3E">
      <w:pPr>
        <w:spacing w:after="240"/>
        <w:jc w:val="center"/>
        <w:rPr>
          <w:sz w:val="28"/>
          <w:szCs w:val="28"/>
        </w:rPr>
      </w:pPr>
      <w:r>
        <w:rPr>
          <w:sz w:val="28"/>
          <w:szCs w:val="28"/>
        </w:rPr>
        <w:t>Реферат</w:t>
      </w:r>
    </w:p>
    <w:p w:rsidR="00083E3E" w:rsidRPr="00083E3E" w:rsidRDefault="00083E3E" w:rsidP="00083E3E">
      <w:pPr>
        <w:spacing w:after="240"/>
        <w:jc w:val="center"/>
        <w:rPr>
          <w:sz w:val="28"/>
          <w:szCs w:val="28"/>
        </w:rPr>
      </w:pPr>
    </w:p>
    <w:p w:rsidR="00977CF8" w:rsidRDefault="006157FB">
      <w:pPr>
        <w:spacing w:after="100" w:line="360" w:lineRule="auto"/>
        <w:ind w:firstLine="720"/>
        <w:jc w:val="both"/>
        <w:rPr>
          <w:sz w:val="28"/>
          <w:szCs w:val="28"/>
        </w:rPr>
      </w:pPr>
      <w:r>
        <w:rPr>
          <w:sz w:val="28"/>
          <w:szCs w:val="28"/>
        </w:rPr>
        <w:t>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w:t>
      </w:r>
      <w:r>
        <w:rPr>
          <w:sz w:val="28"/>
          <w:szCs w:val="28"/>
        </w:rPr>
        <w:t>чуючого середовища поведінка світла може бути різною.</w:t>
      </w:r>
    </w:p>
    <w:p w:rsidR="00977CF8" w:rsidRDefault="006157FB">
      <w:pPr>
        <w:spacing w:after="100" w:line="360" w:lineRule="auto"/>
        <w:ind w:firstLine="720"/>
        <w:jc w:val="both"/>
        <w:rPr>
          <w:sz w:val="28"/>
          <w:szCs w:val="28"/>
        </w:rPr>
      </w:pPr>
      <w:r>
        <w:rPr>
          <w:sz w:val="28"/>
          <w:szCs w:val="28"/>
        </w:rPr>
        <w:t>Коефіцієнт відбивання є міра того, як світло здійснює пружну взаємодію (без енергетичних втрат) при поширенні в середовищі. Зазвичай при пружній взаємодії падаючий промінь світла змінює свій напрямок на</w:t>
      </w:r>
      <w:r>
        <w:rPr>
          <w:sz w:val="28"/>
          <w:szCs w:val="28"/>
        </w:rPr>
        <w:t xml:space="preserve">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w:t>
      </w:r>
      <w:r>
        <w:rPr>
          <w:sz w:val="28"/>
          <w:szCs w:val="28"/>
        </w:rPr>
        <w:t xml:space="preserve">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w:t>
      </w:r>
      <w:r>
        <w:rPr>
          <w:sz w:val="28"/>
          <w:szCs w:val="28"/>
        </w:rPr>
        <w:t>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w:t>
      </w:r>
      <w:r>
        <w:rPr>
          <w:sz w:val="28"/>
          <w:szCs w:val="28"/>
        </w:rPr>
        <w:t xml:space="preserve"> хвилі, як приклад при проходженні світла через скло у вигляді призми, відбувається розкладання світла на різні кольори.</w:t>
      </w:r>
    </w:p>
    <w:p w:rsidR="00977CF8" w:rsidRDefault="006157FB">
      <w:pPr>
        <w:spacing w:after="100" w:line="360" w:lineRule="auto"/>
        <w:ind w:firstLine="720"/>
        <w:jc w:val="both"/>
        <w:rPr>
          <w:sz w:val="28"/>
          <w:szCs w:val="28"/>
        </w:rPr>
      </w:pPr>
      <w:r>
        <w:rPr>
          <w:sz w:val="28"/>
          <w:szCs w:val="28"/>
        </w:rPr>
        <w:t>Оптичний спектрометр являє собою прилад, який використовується для аналізу оптичних властивостей матеріалу (коефіцієнт відбивання, погл</w:t>
      </w:r>
      <w:r>
        <w:rPr>
          <w:sz w:val="28"/>
          <w:szCs w:val="28"/>
        </w:rPr>
        <w:t xml:space="preserve">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промінь </w:t>
      </w:r>
      <w:r>
        <w:rPr>
          <w:sz w:val="28"/>
          <w:szCs w:val="28"/>
        </w:rPr>
        <w:lastRenderedPageBreak/>
        <w:t>світла від межі двох середов</w:t>
      </w:r>
      <w:r>
        <w:rPr>
          <w:sz w:val="28"/>
          <w:szCs w:val="28"/>
        </w:rPr>
        <w:t>ищ з різними коефіцієнтами відбивання (refractive index) стає повністю поляризованим. Цей кут отримав назву кут Брюстера. Тангенс кута Брюстера дорівнює коефіцієнту відбивання середовища для падаючого світла при певній довжині хвилі. Площина поляризації ві</w:t>
      </w:r>
      <w:r>
        <w:rPr>
          <w:sz w:val="28"/>
          <w:szCs w:val="28"/>
        </w:rPr>
        <w:t>діграє ключову роль так як відбитий не поляризований промінь стає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w:t>
      </w:r>
      <w:r>
        <w:rPr>
          <w:sz w:val="28"/>
          <w:szCs w:val="28"/>
        </w:rPr>
        <w:t>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буде рівний 90 градусів) при яком</w:t>
      </w:r>
      <w:r>
        <w:rPr>
          <w:sz w:val="28"/>
          <w:szCs w:val="28"/>
        </w:rPr>
        <w:t>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tbl>
      <w:tblPr>
        <w:tblStyle w:val="TableGrid"/>
        <w:tblW w:w="0" w:type="auto"/>
        <w:tblLayout w:type="fixed"/>
        <w:tblLook w:val="04A0" w:firstRow="1" w:lastRow="0" w:firstColumn="1" w:lastColumn="0" w:noHBand="0" w:noVBand="1"/>
      </w:tblPr>
      <w:tblGrid>
        <w:gridCol w:w="9393"/>
      </w:tblGrid>
      <w:tr w:rsidR="00E71A7B" w:rsidTr="00E71A7B">
        <w:tc>
          <w:tcPr>
            <w:tcW w:w="9393" w:type="dxa"/>
          </w:tcPr>
          <w:p w:rsidR="00E71A7B" w:rsidRDefault="00E71A7B" w:rsidP="00E71A7B">
            <w:pPr>
              <w:spacing w:after="100" w:line="360" w:lineRule="auto"/>
              <w:jc w:val="center"/>
              <w:rPr>
                <w:sz w:val="28"/>
                <w:szCs w:val="28"/>
              </w:rPr>
            </w:pPr>
            <w:r>
              <w:rPr>
                <w:noProof/>
                <w:lang w:val="en-US"/>
              </w:rPr>
              <w:drawing>
                <wp:inline distT="0" distB="0" distL="0" distR="0" wp14:anchorId="55E25DF6" wp14:editId="683B7963">
                  <wp:extent cx="3228975" cy="2967534"/>
                  <wp:effectExtent l="0" t="0" r="0" b="4445"/>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231315" cy="2969684"/>
                          </a:xfrm>
                          <a:prstGeom prst="rect">
                            <a:avLst/>
                          </a:prstGeom>
                          <a:ln/>
                        </pic:spPr>
                      </pic:pic>
                    </a:graphicData>
                  </a:graphic>
                </wp:inline>
              </w:drawing>
            </w:r>
          </w:p>
        </w:tc>
      </w:tr>
      <w:tr w:rsidR="00E71A7B" w:rsidTr="00E71A7B">
        <w:tc>
          <w:tcPr>
            <w:tcW w:w="9393" w:type="dxa"/>
          </w:tcPr>
          <w:p w:rsidR="00E71A7B" w:rsidRDefault="00E71A7B" w:rsidP="009A5944">
            <w:pPr>
              <w:spacing w:after="100" w:line="360" w:lineRule="auto"/>
              <w:jc w:val="both"/>
              <w:rPr>
                <w:sz w:val="28"/>
                <w:szCs w:val="28"/>
              </w:rPr>
            </w:pPr>
            <w:r>
              <w:rPr>
                <w:sz w:val="28"/>
                <w:szCs w:val="28"/>
              </w:rPr>
              <w:t>Рисунок 1 — Кінематична схема ходу променів при перпендикулярній поляризації падаючого променя</w:t>
            </w:r>
          </w:p>
        </w:tc>
      </w:tr>
    </w:tbl>
    <w:p w:rsidR="00E71A7B" w:rsidRDefault="00E71A7B">
      <w:pPr>
        <w:spacing w:after="100" w:line="360" w:lineRule="auto"/>
        <w:ind w:firstLine="720"/>
        <w:jc w:val="both"/>
        <w:rPr>
          <w:sz w:val="28"/>
          <w:szCs w:val="28"/>
        </w:rPr>
      </w:pPr>
    </w:p>
    <w:p w:rsidR="00E71A7B" w:rsidRDefault="00E71A7B" w:rsidP="00E71A7B">
      <w:pPr>
        <w:spacing w:after="100" w:line="360" w:lineRule="auto"/>
        <w:jc w:val="both"/>
        <w:rPr>
          <w:sz w:val="28"/>
          <w:szCs w:val="28"/>
        </w:rPr>
      </w:pPr>
      <w:r>
        <w:rPr>
          <w:sz w:val="28"/>
          <w:szCs w:val="28"/>
        </w:rPr>
        <w:t xml:space="preserve">Кінематична схема ходу променів при перпендикулярній поляризації падаючого променя представлена на рисунку 1.1.1. Так як відбитий промінь </w:t>
      </w:r>
      <w:r>
        <w:rPr>
          <w:sz w:val="28"/>
          <w:szCs w:val="28"/>
        </w:rPr>
        <w:lastRenderedPageBreak/>
        <w:t>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w:t>
      </w:r>
    </w:p>
    <w:p w:rsidR="00977CF8" w:rsidRDefault="00977CF8">
      <w:pPr>
        <w:spacing w:after="100" w:line="360" w:lineRule="auto"/>
        <w:jc w:val="both"/>
        <w:rPr>
          <w:sz w:val="28"/>
          <w:szCs w:val="28"/>
        </w:rPr>
      </w:pPr>
    </w:p>
    <w:tbl>
      <w:tblPr>
        <w:tblStyle w:val="a7"/>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638"/>
      </w:tblGrid>
      <w:tr w:rsidR="00977CF8" w:rsidTr="00E71A7B">
        <w:tc>
          <w:tcPr>
            <w:tcW w:w="9638" w:type="dxa"/>
            <w:shd w:val="clear" w:color="auto" w:fill="auto"/>
          </w:tcPr>
          <w:p w:rsidR="00977CF8" w:rsidRDefault="006157FB" w:rsidP="00E71A7B">
            <w:pPr>
              <w:spacing w:after="100" w:line="360" w:lineRule="auto"/>
              <w:jc w:val="center"/>
              <w:rPr>
                <w:sz w:val="28"/>
                <w:szCs w:val="28"/>
              </w:rPr>
            </w:pPr>
            <w:r>
              <w:rPr>
                <w:noProof/>
                <w:lang w:val="en-US"/>
              </w:rPr>
              <w:drawing>
                <wp:inline distT="0" distB="0" distL="0" distR="0" wp14:anchorId="35E3E57B" wp14:editId="02E772A2">
                  <wp:extent cx="2962275" cy="2470785"/>
                  <wp:effectExtent l="0" t="0" r="9525" b="5715"/>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64617" cy="2472738"/>
                          </a:xfrm>
                          <a:prstGeom prst="rect">
                            <a:avLst/>
                          </a:prstGeom>
                          <a:ln/>
                        </pic:spPr>
                      </pic:pic>
                    </a:graphicData>
                  </a:graphic>
                </wp:inline>
              </w:drawing>
            </w:r>
          </w:p>
        </w:tc>
      </w:tr>
      <w:tr w:rsidR="00977CF8" w:rsidTr="00E71A7B">
        <w:tc>
          <w:tcPr>
            <w:tcW w:w="9638" w:type="dxa"/>
            <w:shd w:val="clear" w:color="auto" w:fill="auto"/>
          </w:tcPr>
          <w:p w:rsidR="00977CF8" w:rsidRDefault="006157FB" w:rsidP="00E71A7B">
            <w:pPr>
              <w:spacing w:after="100" w:line="360" w:lineRule="auto"/>
              <w:jc w:val="both"/>
              <w:rPr>
                <w:sz w:val="28"/>
                <w:szCs w:val="28"/>
              </w:rPr>
            </w:pPr>
            <w:r>
              <w:rPr>
                <w:sz w:val="28"/>
                <w:szCs w:val="28"/>
              </w:rPr>
              <w:t xml:space="preserve">Рисунок </w:t>
            </w:r>
            <w:r>
              <w:rPr>
                <w:sz w:val="28"/>
                <w:szCs w:val="28"/>
              </w:rPr>
              <w:t>2 — Кінематична схема ходу променів при паралельній поляризації падаючого променя</w:t>
            </w:r>
          </w:p>
        </w:tc>
      </w:tr>
    </w:tbl>
    <w:p w:rsidR="00E71A7B" w:rsidRDefault="00E71A7B">
      <w:pPr>
        <w:spacing w:after="100" w:line="360" w:lineRule="auto"/>
        <w:ind w:firstLine="720"/>
        <w:jc w:val="both"/>
        <w:rPr>
          <w:sz w:val="28"/>
          <w:szCs w:val="28"/>
        </w:rPr>
      </w:pPr>
    </w:p>
    <w:p w:rsidR="00977CF8" w:rsidRDefault="006157FB">
      <w:pPr>
        <w:spacing w:after="100" w:line="360" w:lineRule="auto"/>
        <w:ind w:firstLine="720"/>
        <w:jc w:val="both"/>
        <w:rPr>
          <w:sz w:val="28"/>
          <w:szCs w:val="28"/>
        </w:rPr>
      </w:pPr>
      <w:r>
        <w:rPr>
          <w:sz w:val="28"/>
          <w:szCs w:val="28"/>
        </w:rPr>
        <w:t>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 На рисунку 1.1.2 представлений ви</w:t>
      </w:r>
      <w:r>
        <w:rPr>
          <w:sz w:val="28"/>
          <w:szCs w:val="28"/>
        </w:rPr>
        <w:t xml:space="preserve">падок, коли інтенсивність відбитого променя залежить від кута падіння і при куті Брюстера рівна нулю. Всі можливі варіанти падіння поляризованого світла на межу розділу двох середовищ представлено нижче. На рисунку 1.1.3 зображено залежності кута Брюстера </w:t>
      </w:r>
      <w:r>
        <w:rPr>
          <w:sz w:val="28"/>
          <w:szCs w:val="28"/>
        </w:rPr>
        <w:t>для променів різної поляризації, а також напрямку ходу. З повітря в скло (external) і зі скла в повітря (internal).</w:t>
      </w:r>
    </w:p>
    <w:tbl>
      <w:tblPr>
        <w:tblStyle w:val="a8"/>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854"/>
      </w:tblGrid>
      <w:tr w:rsidR="00977CF8" w:rsidTr="00E71A7B">
        <w:tc>
          <w:tcPr>
            <w:tcW w:w="9854" w:type="dxa"/>
          </w:tcPr>
          <w:p w:rsidR="00977CF8" w:rsidRDefault="006157FB" w:rsidP="00E71A7B">
            <w:pPr>
              <w:spacing w:after="100" w:line="360" w:lineRule="auto"/>
              <w:jc w:val="center"/>
              <w:rPr>
                <w:sz w:val="28"/>
                <w:szCs w:val="28"/>
              </w:rPr>
            </w:pPr>
            <w:r>
              <w:rPr>
                <w:noProof/>
                <w:lang w:val="en-US"/>
              </w:rPr>
              <w:lastRenderedPageBreak/>
              <w:drawing>
                <wp:inline distT="0" distB="0" distL="0" distR="0" wp14:anchorId="6B44C995" wp14:editId="48F64F5E">
                  <wp:extent cx="3393552" cy="359092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287" t="1150" r="1821" b="5738"/>
                          <a:stretch>
                            <a:fillRect/>
                          </a:stretch>
                        </pic:blipFill>
                        <pic:spPr>
                          <a:xfrm>
                            <a:off x="0" y="0"/>
                            <a:ext cx="3394614" cy="3592049"/>
                          </a:xfrm>
                          <a:prstGeom prst="rect">
                            <a:avLst/>
                          </a:prstGeom>
                          <a:ln/>
                        </pic:spPr>
                      </pic:pic>
                    </a:graphicData>
                  </a:graphic>
                </wp:inline>
              </w:drawing>
            </w:r>
          </w:p>
        </w:tc>
      </w:tr>
      <w:tr w:rsidR="00977CF8" w:rsidTr="00E71A7B">
        <w:tc>
          <w:tcPr>
            <w:tcW w:w="9854" w:type="dxa"/>
          </w:tcPr>
          <w:p w:rsidR="00977CF8" w:rsidRDefault="006157FB" w:rsidP="00E71A7B">
            <w:pPr>
              <w:spacing w:after="100" w:line="360" w:lineRule="auto"/>
              <w:jc w:val="both"/>
            </w:pPr>
            <w:r>
              <w:rPr>
                <w:sz w:val="28"/>
                <w:szCs w:val="28"/>
              </w:rPr>
              <w:t xml:space="preserve">Рисунок </w:t>
            </w:r>
            <w:r>
              <w:rPr>
                <w:sz w:val="28"/>
                <w:szCs w:val="28"/>
              </w:rPr>
              <w:t>3 — Кут Брюстера для променів різної орієнтації вектора поляризації та напрямку ходу променів. Де Θp– кут Брюстера, Θc- критичний кут повного внутрішнього відбивання.</w:t>
            </w:r>
          </w:p>
        </w:tc>
      </w:tr>
    </w:tbl>
    <w:p w:rsidR="00977CF8" w:rsidRDefault="00977CF8">
      <w:pPr>
        <w:spacing w:after="100" w:line="360" w:lineRule="auto"/>
        <w:ind w:firstLine="720"/>
        <w:jc w:val="both"/>
        <w:rPr>
          <w:sz w:val="28"/>
          <w:szCs w:val="28"/>
        </w:rPr>
      </w:pPr>
    </w:p>
    <w:p w:rsidR="00977CF8" w:rsidRDefault="006157FB">
      <w:pPr>
        <w:spacing w:after="100" w:line="360" w:lineRule="auto"/>
        <w:ind w:firstLine="720"/>
        <w:jc w:val="both"/>
        <w:rPr>
          <w:sz w:val="28"/>
          <w:szCs w:val="28"/>
        </w:rPr>
      </w:pPr>
      <w:r>
        <w:rPr>
          <w:sz w:val="28"/>
          <w:szCs w:val="28"/>
        </w:rPr>
        <w:t>Отже, як вияснили, змінюючи кут падіння падаючого поляризованого проміння т</w:t>
      </w:r>
      <w:r>
        <w:rPr>
          <w:sz w:val="28"/>
          <w:szCs w:val="28"/>
        </w:rPr>
        <w:t>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та поглинання (extinction coefficient). Як відомо, коефіцієнти відбиванн</w:t>
      </w:r>
      <w:r>
        <w:rPr>
          <w:sz w:val="28"/>
          <w:szCs w:val="28"/>
        </w:rPr>
        <w:t>я великої кількості практичних матеріалів виміряні і занесені в таблиці [2-7].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w:t>
      </w:r>
      <w:r>
        <w:rPr>
          <w:sz w:val="28"/>
          <w:szCs w:val="28"/>
        </w:rPr>
        <w:t>а в порівнянні з формулами Коші чи Гартмана) [8-10]. Знаючи коефіцієнти Зельмеєра для досліджуваного зразка можна визначити досліджуваний матеріал і дізнатися його властивості.</w:t>
      </w:r>
    </w:p>
    <w:p w:rsidR="00977CF8" w:rsidRDefault="006157FB">
      <w:pPr>
        <w:spacing w:after="100" w:line="360" w:lineRule="auto"/>
        <w:ind w:firstLine="720"/>
        <w:jc w:val="both"/>
        <w:rPr>
          <w:sz w:val="28"/>
          <w:szCs w:val="28"/>
        </w:rPr>
      </w:pPr>
      <w:r>
        <w:rPr>
          <w:sz w:val="28"/>
          <w:szCs w:val="28"/>
        </w:rPr>
        <w:lastRenderedPageBreak/>
        <w:t xml:space="preserve">Основним предметом дослідження в представленій магістерській дисертації будуть </w:t>
      </w:r>
      <w:r>
        <w:rPr>
          <w:sz w:val="28"/>
          <w:szCs w:val="28"/>
        </w:rPr>
        <w:t>напівпровідники та діелектрики по тій причині, що це є основні матеріали для виробництва електроніки [11-15]. Вони є частиною будь якого пристрою, що зумовлює їхню практичну і наукову цінність. Дослідження буде проводитися неруйнівним методом.</w:t>
      </w:r>
    </w:p>
    <w:p w:rsidR="00083E3E" w:rsidRDefault="00083E3E">
      <w:pPr>
        <w:spacing w:after="100" w:line="360" w:lineRule="auto"/>
        <w:jc w:val="both"/>
        <w:rPr>
          <w:sz w:val="28"/>
          <w:szCs w:val="28"/>
        </w:rPr>
      </w:pPr>
    </w:p>
    <w:p w:rsidR="00977CF8" w:rsidRDefault="006157FB">
      <w:pPr>
        <w:spacing w:after="100" w:line="360" w:lineRule="auto"/>
        <w:jc w:val="both"/>
        <w:rPr>
          <w:sz w:val="28"/>
          <w:szCs w:val="28"/>
        </w:rPr>
      </w:pPr>
      <w:r>
        <w:rPr>
          <w:sz w:val="28"/>
          <w:szCs w:val="28"/>
        </w:rPr>
        <w:t>Загаль</w:t>
      </w:r>
      <w:r>
        <w:rPr>
          <w:sz w:val="28"/>
          <w:szCs w:val="28"/>
        </w:rPr>
        <w:t>ний опис проблеми</w:t>
      </w:r>
    </w:p>
    <w:p w:rsidR="00977CF8" w:rsidRDefault="006157FB">
      <w:pPr>
        <w:spacing w:after="100" w:line="360" w:lineRule="auto"/>
        <w:ind w:firstLine="708"/>
        <w:jc w:val="both"/>
        <w:rPr>
          <w:sz w:val="28"/>
          <w:szCs w:val="28"/>
        </w:rPr>
      </w:pPr>
      <w:r>
        <w:rPr>
          <w:sz w:val="28"/>
          <w:szCs w:val="28"/>
        </w:rPr>
        <w:t>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w:t>
      </w:r>
      <w:r>
        <w:rPr>
          <w:sz w:val="28"/>
          <w:szCs w:val="28"/>
        </w:rPr>
        <w:t xml:space="preserve">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083E3E" w:rsidRDefault="00083E3E">
      <w:pPr>
        <w:spacing w:after="100" w:line="360" w:lineRule="auto"/>
        <w:jc w:val="both"/>
        <w:rPr>
          <w:sz w:val="28"/>
          <w:szCs w:val="28"/>
        </w:rPr>
      </w:pPr>
    </w:p>
    <w:p w:rsidR="00977CF8" w:rsidRDefault="006157FB">
      <w:pPr>
        <w:spacing w:after="100" w:line="360" w:lineRule="auto"/>
        <w:jc w:val="both"/>
        <w:rPr>
          <w:sz w:val="28"/>
          <w:szCs w:val="28"/>
        </w:rPr>
      </w:pPr>
      <w:r>
        <w:rPr>
          <w:sz w:val="28"/>
          <w:szCs w:val="28"/>
        </w:rPr>
        <w:t xml:space="preserve">Опис спектрометра </w:t>
      </w:r>
      <w:r>
        <w:rPr>
          <w:i/>
          <w:sz w:val="28"/>
          <w:szCs w:val="28"/>
        </w:rPr>
        <w:t>S</w:t>
      </w:r>
      <w:r>
        <w:rPr>
          <w:i/>
          <w:sz w:val="28"/>
          <w:szCs w:val="28"/>
        </w:rPr>
        <w:t>pecord 210</w:t>
      </w:r>
    </w:p>
    <w:p w:rsidR="00977CF8" w:rsidRDefault="006157FB">
      <w:pPr>
        <w:spacing w:after="100" w:line="360" w:lineRule="auto"/>
        <w:ind w:firstLine="708"/>
        <w:jc w:val="both"/>
        <w:rPr>
          <w:sz w:val="28"/>
          <w:szCs w:val="28"/>
        </w:rPr>
      </w:pPr>
      <w:r>
        <w:rPr>
          <w:sz w:val="28"/>
          <w:szCs w:val="28"/>
        </w:rPr>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Pr>
          <w:i/>
          <w:sz w:val="28"/>
          <w:szCs w:val="28"/>
        </w:rPr>
        <w:t>Specord 210</w:t>
      </w:r>
      <w:r>
        <w:rPr>
          <w:sz w:val="28"/>
          <w:szCs w:val="28"/>
        </w:rPr>
        <w:t xml:space="preserve">. Спектральний діапазон від 190 до 1100 нм може бути досліджено </w:t>
      </w:r>
      <w:r>
        <w:rPr>
          <w:sz w:val="28"/>
          <w:szCs w:val="28"/>
        </w:rPr>
        <w:t>з роздільною здатністю 0,5/1/2/4 нм. Оптична система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[16]</w:t>
      </w:r>
      <w:r>
        <w:rPr>
          <w:sz w:val="28"/>
          <w:szCs w:val="28"/>
        </w:rPr>
        <w:t>.</w:t>
      </w:r>
    </w:p>
    <w:p w:rsidR="00977CF8" w:rsidRDefault="006157FB">
      <w:pPr>
        <w:spacing w:after="100" w:line="360" w:lineRule="auto"/>
        <w:ind w:firstLine="708"/>
        <w:jc w:val="both"/>
        <w:rPr>
          <w:sz w:val="28"/>
          <w:szCs w:val="28"/>
        </w:rPr>
      </w:pPr>
      <w:r>
        <w:rPr>
          <w:sz w:val="28"/>
          <w:szCs w:val="28"/>
        </w:rPr>
        <w:t>Оптична схема спектрофотометра в режимі вимірювання пропускання (а) та відбивання (б) наведена на рисунку 1.3.1. Колесо світлофільтрів (5), увігнута дифракційна решітка (7), а також скомпонований блок вхідної (6) та вихідної (8) щілин утворюють систему о</w:t>
      </w:r>
      <w:r>
        <w:rPr>
          <w:sz w:val="28"/>
          <w:szCs w:val="28"/>
        </w:rPr>
        <w:t xml:space="preserve">птичних елементів, яка виконує роль монохроматора. Колесо світлофільтрів (5) містить наступні фільтри: а) чотири </w:t>
      </w:r>
      <w:r>
        <w:rPr>
          <w:sz w:val="28"/>
          <w:szCs w:val="28"/>
        </w:rPr>
        <w:lastRenderedPageBreak/>
        <w:t>кольорові скляні фільтри, які використовуються для придушення небажаного випромінювання в монохроматорі; б) стандартний фільтр із оксиду гольмі</w:t>
      </w:r>
      <w:r>
        <w:rPr>
          <w:sz w:val="28"/>
          <w:szCs w:val="28"/>
        </w:rPr>
        <w:t xml:space="preserve">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Pr>
          <w:i/>
          <w:sz w:val="28"/>
          <w:szCs w:val="28"/>
        </w:rPr>
        <w:t xml:space="preserve">Specord 210 </w:t>
      </w:r>
      <w:r>
        <w:rPr>
          <w:sz w:val="28"/>
          <w:szCs w:val="28"/>
        </w:rPr>
        <w:t>з</w:t>
      </w:r>
      <w:r>
        <w:rPr>
          <w:sz w:val="28"/>
          <w:szCs w:val="28"/>
        </w:rPr>
        <w:t>абезпечує стабільно високу якість отриманих результатів вимірювань.</w:t>
      </w:r>
    </w:p>
    <w:p w:rsidR="00977CF8" w:rsidRDefault="006157FB">
      <w:pPr>
        <w:spacing w:after="100" w:line="360" w:lineRule="auto"/>
        <w:ind w:firstLine="708"/>
        <w:jc w:val="both"/>
        <w:rPr>
          <w:sz w:val="28"/>
          <w:szCs w:val="28"/>
        </w:rPr>
      </w:pPr>
      <w:r>
        <w:rPr>
          <w:sz w:val="28"/>
          <w:szCs w:val="28"/>
        </w:rPr>
        <w:t xml:space="preserve">Для дослідження спектрів відбивання в оптичній схемі спектрофотометра </w:t>
      </w:r>
      <w:r>
        <w:rPr>
          <w:i/>
          <w:sz w:val="28"/>
          <w:szCs w:val="28"/>
        </w:rPr>
        <w:t xml:space="preserve">Specord 210 </w:t>
      </w:r>
      <w:r>
        <w:rPr>
          <w:sz w:val="28"/>
          <w:szCs w:val="28"/>
        </w:rPr>
        <w:t>використовувалась оригінальна інтегруюча сфера з внутрішнім діаметром 75 мм та кутом падіння 8°. В цій опт</w:t>
      </w:r>
      <w:r>
        <w:rPr>
          <w:sz w:val="28"/>
          <w:szCs w:val="28"/>
        </w:rPr>
        <w:t xml:space="preserve">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Pr>
          <w:i/>
          <w:sz w:val="28"/>
          <w:szCs w:val="28"/>
        </w:rPr>
        <w:t>Spectralon</w:t>
      </w:r>
      <w:r>
        <w:rPr>
          <w:sz w:val="28"/>
          <w:szCs w:val="28"/>
        </w:rPr>
        <w:t>, що забезпечує більше 99% розсія</w:t>
      </w:r>
      <w:r>
        <w:rPr>
          <w:sz w:val="28"/>
          <w:szCs w:val="28"/>
        </w:rPr>
        <w:t>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w:t>
      </w:r>
      <w:r>
        <w:rPr>
          <w:sz w:val="28"/>
          <w:szCs w:val="28"/>
        </w:rPr>
        <w:t xml:space="preserve">шку </w:t>
      </w:r>
      <w:r>
        <w:rPr>
          <w:i/>
          <w:sz w:val="28"/>
          <w:szCs w:val="28"/>
        </w:rPr>
        <w:t>BaSO</w:t>
      </w:r>
      <w:r>
        <w:rPr>
          <w:sz w:val="28"/>
          <w:szCs w:val="28"/>
          <w:vertAlign w:val="subscript"/>
        </w:rPr>
        <w:t>4</w:t>
      </w:r>
      <w:r>
        <w:rPr>
          <w:sz w:val="28"/>
          <w:szCs w:val="28"/>
        </w:rPr>
        <w:t xml:space="preserve">. Фотоприймач дзеркально відбитих променів використовується для аналізу частки дзеркальної компоненти спектру пропускання. </w:t>
      </w:r>
    </w:p>
    <w:p w:rsidR="00977CF8" w:rsidRDefault="006157FB">
      <w:pPr>
        <w:spacing w:after="100" w:line="360" w:lineRule="auto"/>
        <w:ind w:firstLine="708"/>
        <w:jc w:val="both"/>
        <w:rPr>
          <w:sz w:val="28"/>
          <w:szCs w:val="28"/>
        </w:rPr>
      </w:pPr>
      <w:r>
        <w:rPr>
          <w:sz w:val="28"/>
          <w:szCs w:val="28"/>
        </w:rPr>
        <w:t>Переваги та недоліки: двопроменевий, апертура фотодетектора пару сантиметрів, що не зручно для вимірювання надмалих зразків</w:t>
      </w:r>
      <w:r>
        <w:rPr>
          <w:sz w:val="28"/>
          <w:szCs w:val="28"/>
        </w:rPr>
        <w:t>. Обов'язково використовувати однакові діафрагми для обох променів. При вимірюваннях спектрів відбивання задіяні два фотоприймачі у яких різні кінематичні маршрути променів. При цьому відбувається зміна фази променя при кожному відбиванні від дзеркал. Пере</w:t>
      </w:r>
      <w:r>
        <w:rPr>
          <w:sz w:val="28"/>
          <w:szCs w:val="28"/>
        </w:rPr>
        <w:t>вага у тому, що прилад характеризується високою роздільною здатністю так як прилад дифракційний. Але недолік в цьому, що необхідно використовувати відсікаючі фільтри так як дифракційні спектри мають порядок. Тобто на певний діапазон може прийти референсний</w:t>
      </w:r>
      <w:r>
        <w:rPr>
          <w:sz w:val="28"/>
          <w:szCs w:val="28"/>
        </w:rPr>
        <w:t xml:space="preserve"> сигнал від іншого порядку спектру.</w:t>
      </w:r>
    </w:p>
    <w:tbl>
      <w:tblPr>
        <w:tblStyle w:val="a9"/>
        <w:tblW w:w="9638"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638"/>
      </w:tblGrid>
      <w:tr w:rsidR="00977CF8" w:rsidTr="00E71A7B">
        <w:trPr>
          <w:trHeight w:val="546"/>
        </w:trPr>
        <w:tc>
          <w:tcPr>
            <w:tcW w:w="9638" w:type="dxa"/>
            <w:shd w:val="clear" w:color="auto" w:fill="auto"/>
          </w:tcPr>
          <w:p w:rsidR="00977CF8" w:rsidRDefault="006157FB">
            <w:pPr>
              <w:spacing w:after="100" w:line="360" w:lineRule="auto"/>
              <w:jc w:val="center"/>
              <w:rPr>
                <w:sz w:val="28"/>
                <w:szCs w:val="28"/>
              </w:rPr>
            </w:pPr>
            <w:r>
              <w:rPr>
                <w:noProof/>
                <w:lang w:val="en-US"/>
              </w:rPr>
              <w:lastRenderedPageBreak/>
              <w:drawing>
                <wp:inline distT="0" distB="0" distL="0" distR="0" wp14:anchorId="439AB1CC" wp14:editId="20A3ABFD">
                  <wp:extent cx="4157953" cy="219075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163387" cy="2193613"/>
                          </a:xfrm>
                          <a:prstGeom prst="rect">
                            <a:avLst/>
                          </a:prstGeom>
                          <a:ln/>
                        </pic:spPr>
                      </pic:pic>
                    </a:graphicData>
                  </a:graphic>
                </wp:inline>
              </w:drawing>
            </w:r>
          </w:p>
        </w:tc>
      </w:tr>
      <w:tr w:rsidR="00977CF8" w:rsidTr="00E71A7B">
        <w:tc>
          <w:tcPr>
            <w:tcW w:w="9638" w:type="dxa"/>
            <w:shd w:val="clear" w:color="auto" w:fill="auto"/>
          </w:tcPr>
          <w:p w:rsidR="00977CF8" w:rsidRDefault="006157FB">
            <w:pPr>
              <w:widowControl w:val="0"/>
              <w:spacing w:after="100" w:line="360" w:lineRule="auto"/>
              <w:jc w:val="center"/>
              <w:rPr>
                <w:sz w:val="28"/>
                <w:szCs w:val="28"/>
              </w:rPr>
            </w:pPr>
            <w:r>
              <w:rPr>
                <w:noProof/>
                <w:lang w:val="en-US"/>
              </w:rPr>
              <w:drawing>
                <wp:inline distT="0" distB="0" distL="0" distR="0" wp14:anchorId="7B947D44" wp14:editId="0A968740">
                  <wp:extent cx="4429125" cy="2394694"/>
                  <wp:effectExtent l="0" t="0" r="0" b="5715"/>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32985" cy="2396781"/>
                          </a:xfrm>
                          <a:prstGeom prst="rect">
                            <a:avLst/>
                          </a:prstGeom>
                          <a:ln/>
                        </pic:spPr>
                      </pic:pic>
                    </a:graphicData>
                  </a:graphic>
                </wp:inline>
              </w:drawing>
            </w:r>
          </w:p>
        </w:tc>
      </w:tr>
      <w:tr w:rsidR="00977CF8" w:rsidTr="00E71A7B">
        <w:trPr>
          <w:trHeight w:val="3955"/>
        </w:trPr>
        <w:tc>
          <w:tcPr>
            <w:tcW w:w="9638" w:type="dxa"/>
            <w:shd w:val="clear" w:color="auto" w:fill="auto"/>
          </w:tcPr>
          <w:p w:rsidR="00977CF8" w:rsidRDefault="006157FB" w:rsidP="00E71A7B">
            <w:pPr>
              <w:spacing w:after="100" w:line="360" w:lineRule="auto"/>
              <w:rPr>
                <w:sz w:val="28"/>
                <w:szCs w:val="28"/>
              </w:rPr>
            </w:pPr>
            <w:r>
              <w:rPr>
                <w:sz w:val="28"/>
                <w:szCs w:val="28"/>
              </w:rPr>
              <w:t xml:space="preserve">Рисунок </w:t>
            </w:r>
            <w:r w:rsidR="00E71A7B">
              <w:rPr>
                <w:sz w:val="28"/>
                <w:szCs w:val="28"/>
              </w:rPr>
              <w:t>4</w:t>
            </w:r>
            <w:r>
              <w:rPr>
                <w:sz w:val="28"/>
                <w:szCs w:val="28"/>
              </w:rPr>
              <w:t xml:space="preserve">— Оптична схема спектрофотометра </w:t>
            </w:r>
            <w:r>
              <w:rPr>
                <w:i/>
                <w:sz w:val="28"/>
                <w:szCs w:val="28"/>
              </w:rPr>
              <w:t>Specord 210</w:t>
            </w:r>
            <w:r>
              <w:rPr>
                <w:sz w:val="28"/>
                <w:szCs w:val="28"/>
              </w:rPr>
              <w:t>:</w:t>
            </w:r>
          </w:p>
          <w:p w:rsidR="00977CF8" w:rsidRDefault="006157FB">
            <w:pPr>
              <w:spacing w:after="100" w:line="360" w:lineRule="auto"/>
              <w:jc w:val="both"/>
              <w:rPr>
                <w:sz w:val="28"/>
                <w:szCs w:val="28"/>
              </w:rPr>
            </w:pPr>
            <w:r>
              <w:rPr>
                <w:sz w:val="28"/>
                <w:szCs w:val="28"/>
              </w:rPr>
              <w:t>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w:t>
            </w:r>
            <w:r>
              <w:rPr>
                <w:sz w:val="28"/>
                <w:szCs w:val="28"/>
              </w:rPr>
              <w:t>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977CF8" w:rsidRDefault="006157FB">
      <w:pPr>
        <w:spacing w:after="100" w:line="360" w:lineRule="auto"/>
        <w:jc w:val="both"/>
        <w:rPr>
          <w:sz w:val="28"/>
          <w:szCs w:val="28"/>
        </w:rPr>
      </w:pPr>
      <w:r>
        <w:rPr>
          <w:sz w:val="28"/>
          <w:szCs w:val="28"/>
        </w:rPr>
        <w:t>Опис спектрометра ДМР-</w:t>
      </w:r>
      <w:r>
        <w:rPr>
          <w:sz w:val="28"/>
          <w:szCs w:val="28"/>
        </w:rPr>
        <w:t>4</w:t>
      </w:r>
    </w:p>
    <w:p w:rsidR="00977CF8" w:rsidRDefault="006157FB">
      <w:pPr>
        <w:spacing w:after="100" w:line="360" w:lineRule="auto"/>
        <w:ind w:firstLine="708"/>
        <w:jc w:val="both"/>
        <w:rPr>
          <w:sz w:val="28"/>
          <w:szCs w:val="28"/>
        </w:rPr>
      </w:pPr>
      <w:r>
        <w:rPr>
          <w:sz w:val="28"/>
          <w:szCs w:val="28"/>
        </w:rPr>
        <w:t xml:space="preserve">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w:t>
      </w:r>
      <w:r>
        <w:rPr>
          <w:sz w:val="28"/>
          <w:szCs w:val="28"/>
        </w:rPr>
        <w:lastRenderedPageBreak/>
        <w:t>зафіксований з роздільною здатністю 1 нм/мм. Оптичн</w:t>
      </w:r>
      <w:r>
        <w:rPr>
          <w:sz w:val="28"/>
          <w:szCs w:val="28"/>
        </w:rPr>
        <w:t>а система наведена на рисунку 1.4.1.</w:t>
      </w:r>
    </w:p>
    <w:p w:rsidR="00977CF8" w:rsidRDefault="006157FB">
      <w:pPr>
        <w:spacing w:after="100" w:line="360" w:lineRule="auto"/>
        <w:ind w:firstLine="708"/>
        <w:jc w:val="both"/>
        <w:rPr>
          <w:sz w:val="28"/>
          <w:szCs w:val="28"/>
        </w:rPr>
      </w:pPr>
      <w:r>
        <w:rPr>
          <w:sz w:val="28"/>
          <w:szCs w:val="28"/>
        </w:rPr>
        <w:t>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w:t>
      </w:r>
      <w:r>
        <w:rPr>
          <w:sz w:val="28"/>
          <w:szCs w:val="28"/>
        </w:rPr>
        <w:t>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w:t>
      </w:r>
      <w:r>
        <w:rPr>
          <w:sz w:val="28"/>
          <w:szCs w:val="28"/>
        </w:rPr>
        <w:t>онохроматичне світло на призму (8), а сферичний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гвинтику (13) і тягне за собою шт</w:t>
      </w:r>
      <w:r>
        <w:rPr>
          <w:sz w:val="28"/>
          <w:szCs w:val="28"/>
        </w:rPr>
        <w:t>ок (14), який повертає столик для розподілу (15). Поворот столика для розподілу через важелі (16) передається одночасно на два призмових столика (17).</w:t>
      </w:r>
    </w:p>
    <w:p w:rsidR="00977CF8" w:rsidRDefault="006157FB">
      <w:pPr>
        <w:spacing w:after="100" w:line="360" w:lineRule="auto"/>
        <w:ind w:firstLine="708"/>
        <w:jc w:val="both"/>
        <w:rPr>
          <w:sz w:val="28"/>
          <w:szCs w:val="28"/>
        </w:rPr>
      </w:pPr>
      <w:r>
        <w:rPr>
          <w:sz w:val="28"/>
          <w:szCs w:val="28"/>
        </w:rPr>
        <w:t>Переваги та недоліки: нелінійна шкала так як пристрій дисперсійний. Чудова світлосила, погана роздільна з</w:t>
      </w:r>
      <w:r>
        <w:rPr>
          <w:sz w:val="28"/>
          <w:szCs w:val="28"/>
        </w:rPr>
        <w:t>датність. Можна фокусувати на надмалі зразки, наприклад фокусуватися в торець зразка. Зручність при побудові власної кінематичної схеми ходу променів.</w:t>
      </w:r>
    </w:p>
    <w:tbl>
      <w:tblPr>
        <w:tblStyle w:val="aa"/>
        <w:tblW w:w="9757"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757"/>
      </w:tblGrid>
      <w:tr w:rsidR="00977CF8" w:rsidTr="00E71A7B">
        <w:tc>
          <w:tcPr>
            <w:tcW w:w="9757" w:type="dxa"/>
            <w:shd w:val="clear" w:color="auto" w:fill="auto"/>
          </w:tcPr>
          <w:p w:rsidR="00977CF8" w:rsidRDefault="006157FB">
            <w:pPr>
              <w:widowControl w:val="0"/>
              <w:spacing w:after="100" w:line="360" w:lineRule="auto"/>
              <w:rPr>
                <w:sz w:val="28"/>
                <w:szCs w:val="28"/>
              </w:rPr>
            </w:pPr>
            <w:r>
              <w:rPr>
                <w:noProof/>
                <w:lang w:val="en-US"/>
              </w:rPr>
              <w:drawing>
                <wp:inline distT="0" distB="0" distL="0" distR="0" wp14:anchorId="45000419" wp14:editId="2CA9FCE3">
                  <wp:extent cx="4248150" cy="316444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49039" cy="3165105"/>
                          </a:xfrm>
                          <a:prstGeom prst="rect">
                            <a:avLst/>
                          </a:prstGeom>
                          <a:ln/>
                        </pic:spPr>
                      </pic:pic>
                    </a:graphicData>
                  </a:graphic>
                </wp:inline>
              </w:drawing>
            </w:r>
          </w:p>
        </w:tc>
      </w:tr>
      <w:tr w:rsidR="00977CF8" w:rsidTr="00E71A7B">
        <w:trPr>
          <w:trHeight w:val="807"/>
        </w:trPr>
        <w:tc>
          <w:tcPr>
            <w:tcW w:w="9757" w:type="dxa"/>
            <w:shd w:val="clear" w:color="auto" w:fill="auto"/>
          </w:tcPr>
          <w:p w:rsidR="00977CF8" w:rsidRDefault="006157FB" w:rsidP="00E71A7B">
            <w:pPr>
              <w:widowControl w:val="0"/>
              <w:spacing w:after="100" w:line="360" w:lineRule="auto"/>
              <w:jc w:val="both"/>
              <w:rPr>
                <w:sz w:val="28"/>
                <w:szCs w:val="28"/>
              </w:rPr>
            </w:pPr>
            <w:r>
              <w:rPr>
                <w:sz w:val="28"/>
                <w:szCs w:val="28"/>
              </w:rPr>
              <w:lastRenderedPageBreak/>
              <w:t xml:space="preserve">Рисунок </w:t>
            </w:r>
            <w:r w:rsidR="00E71A7B">
              <w:rPr>
                <w:sz w:val="28"/>
                <w:szCs w:val="28"/>
              </w:rPr>
              <w:t>5</w:t>
            </w:r>
            <w:r>
              <w:rPr>
                <w:sz w:val="28"/>
                <w:szCs w:val="28"/>
              </w:rPr>
              <w:t xml:space="preserve"> — Оптична схема спектрометра ДМР-4</w:t>
            </w:r>
          </w:p>
        </w:tc>
      </w:tr>
    </w:tbl>
    <w:p w:rsidR="00977CF8" w:rsidRDefault="006157FB">
      <w:pPr>
        <w:spacing w:after="100" w:line="360" w:lineRule="auto"/>
        <w:ind w:firstLine="708"/>
        <w:jc w:val="both"/>
        <w:rPr>
          <w:sz w:val="28"/>
          <w:szCs w:val="28"/>
        </w:rPr>
      </w:pPr>
      <w:r>
        <w:rPr>
          <w:sz w:val="28"/>
          <w:szCs w:val="28"/>
        </w:rPr>
        <w:t>Основним елементом приладу є RGBC сенсор на базі модуля APDS-9960, за допомогою якого фіксується інтенсивність відбитого світла в одиницях µ</w:t>
      </w:r>
      <w:r>
        <w:rPr>
          <w:sz w:val="28"/>
          <w:szCs w:val="28"/>
        </w:rPr>
        <w:t>Ват/м</w:t>
      </w:r>
      <w:r>
        <w:rPr>
          <w:sz w:val="28"/>
          <w:szCs w:val="28"/>
          <w:vertAlign w:val="superscript"/>
        </w:rPr>
        <w:t>2</w:t>
      </w:r>
      <w:r>
        <w:rPr>
          <w:sz w:val="28"/>
          <w:szCs w:val="28"/>
        </w:rPr>
        <w:t>. Основою даного RGBC сенсора є стандартні фотодіоди, як для всіх RGB сенсорів: датчики червоного (Red), зеленого (Green) та синього (Blue) кольорів. На відміну від типових RGB сенсорів, всі фотодіоди є широко-полосними, але перед кожним з них розташ</w:t>
      </w:r>
      <w:r>
        <w:rPr>
          <w:sz w:val="28"/>
          <w:szCs w:val="28"/>
        </w:rPr>
        <w:t>ований полосовий оптичний фільтр, а також є додатковий сенсор для вимірювання без фільтру (Clear). В основі фотодіодів є діод InGaN з такими характеристиками фільтрів:</w:t>
      </w:r>
    </w:p>
    <w:p w:rsidR="00977CF8" w:rsidRDefault="006157FB">
      <w:pPr>
        <w:numPr>
          <w:ilvl w:val="0"/>
          <w:numId w:val="1"/>
        </w:numPr>
        <w:spacing w:line="360" w:lineRule="auto"/>
        <w:jc w:val="both"/>
        <w:rPr>
          <w:sz w:val="28"/>
          <w:szCs w:val="28"/>
        </w:rPr>
      </w:pPr>
      <w:r>
        <w:rPr>
          <w:sz w:val="28"/>
          <w:szCs w:val="28"/>
        </w:rPr>
        <w:t>довжина хвилі 465 нм і спектральна напівширина 22 нм;</w:t>
      </w:r>
    </w:p>
    <w:p w:rsidR="00977CF8" w:rsidRDefault="006157FB">
      <w:pPr>
        <w:numPr>
          <w:ilvl w:val="0"/>
          <w:numId w:val="1"/>
        </w:numPr>
        <w:spacing w:line="360" w:lineRule="auto"/>
        <w:jc w:val="both"/>
        <w:rPr>
          <w:sz w:val="28"/>
          <w:szCs w:val="28"/>
        </w:rPr>
      </w:pPr>
      <w:r>
        <w:rPr>
          <w:sz w:val="28"/>
          <w:szCs w:val="28"/>
        </w:rPr>
        <w:t>довжина хвилі 525 нм і спектральна напівширина 35 нм;</w:t>
      </w:r>
    </w:p>
    <w:p w:rsidR="00977CF8" w:rsidRDefault="006157FB">
      <w:pPr>
        <w:numPr>
          <w:ilvl w:val="0"/>
          <w:numId w:val="1"/>
        </w:numPr>
        <w:spacing w:after="100" w:line="360" w:lineRule="auto"/>
        <w:jc w:val="both"/>
        <w:rPr>
          <w:sz w:val="28"/>
          <w:szCs w:val="28"/>
        </w:rPr>
      </w:pPr>
      <w:r>
        <w:rPr>
          <w:sz w:val="28"/>
          <w:szCs w:val="28"/>
        </w:rPr>
        <w:t>довжина хвилі 625 нм і спектральна напівширина 15 нм;</w:t>
      </w:r>
    </w:p>
    <w:p w:rsidR="00977CF8" w:rsidRDefault="006157FB">
      <w:pPr>
        <w:spacing w:after="100" w:line="360" w:lineRule="auto"/>
        <w:ind w:left="720"/>
        <w:jc w:val="both"/>
        <w:rPr>
          <w:sz w:val="28"/>
          <w:szCs w:val="28"/>
        </w:rPr>
      </w:pPr>
      <w:r>
        <w:rPr>
          <w:sz w:val="28"/>
          <w:szCs w:val="28"/>
        </w:rPr>
        <w:t>Функціональна блок діаграма APDS-9960 представлена на рисунку 1.5.1.</w:t>
      </w:r>
    </w:p>
    <w:tbl>
      <w:tblPr>
        <w:tblStyle w:val="ab"/>
        <w:tblW w:w="99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953"/>
      </w:tblGrid>
      <w:tr w:rsidR="00977CF8" w:rsidTr="00E71A7B">
        <w:tc>
          <w:tcPr>
            <w:tcW w:w="9953" w:type="dxa"/>
          </w:tcPr>
          <w:p w:rsidR="00977CF8" w:rsidRDefault="006157FB">
            <w:pPr>
              <w:spacing w:after="100" w:line="360" w:lineRule="auto"/>
              <w:jc w:val="both"/>
              <w:rPr>
                <w:sz w:val="28"/>
                <w:szCs w:val="28"/>
              </w:rPr>
            </w:pPr>
            <w:r>
              <w:rPr>
                <w:noProof/>
                <w:lang w:val="en-US"/>
              </w:rPr>
              <w:drawing>
                <wp:inline distT="0" distB="0" distL="0" distR="0" wp14:anchorId="33DA3FD2" wp14:editId="56CF37C0">
                  <wp:extent cx="4497986" cy="330517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01727" cy="3307924"/>
                          </a:xfrm>
                          <a:prstGeom prst="rect">
                            <a:avLst/>
                          </a:prstGeom>
                          <a:ln/>
                        </pic:spPr>
                      </pic:pic>
                    </a:graphicData>
                  </a:graphic>
                </wp:inline>
              </w:drawing>
            </w:r>
          </w:p>
        </w:tc>
      </w:tr>
      <w:tr w:rsidR="00977CF8" w:rsidTr="00E71A7B">
        <w:tc>
          <w:tcPr>
            <w:tcW w:w="9953" w:type="dxa"/>
          </w:tcPr>
          <w:p w:rsidR="00977CF8" w:rsidRDefault="006157FB" w:rsidP="00E71A7B">
            <w:pPr>
              <w:spacing w:after="100" w:line="360" w:lineRule="auto"/>
              <w:rPr>
                <w:sz w:val="28"/>
                <w:szCs w:val="28"/>
              </w:rPr>
            </w:pPr>
            <w:r>
              <w:rPr>
                <w:sz w:val="28"/>
                <w:szCs w:val="28"/>
              </w:rPr>
              <w:t>Рисунок 1.5.1 — Функціональна блок діаграма APDS-9960</w:t>
            </w:r>
          </w:p>
        </w:tc>
      </w:tr>
    </w:tbl>
    <w:p w:rsidR="00977CF8" w:rsidRDefault="006157FB">
      <w:pPr>
        <w:spacing w:after="100" w:line="360" w:lineRule="auto"/>
        <w:ind w:firstLine="720"/>
        <w:jc w:val="both"/>
        <w:rPr>
          <w:sz w:val="28"/>
          <w:szCs w:val="28"/>
        </w:rPr>
      </w:pPr>
      <w:r>
        <w:rPr>
          <w:sz w:val="28"/>
          <w:szCs w:val="28"/>
        </w:rPr>
        <w:lastRenderedPageBreak/>
        <w:t>Спектральні чутливост</w:t>
      </w:r>
      <w:r>
        <w:rPr>
          <w:sz w:val="28"/>
          <w:szCs w:val="28"/>
        </w:rPr>
        <w:t>і фотодіодів APDS-9960 представлена на рисунку 1.5.2.</w:t>
      </w:r>
    </w:p>
    <w:tbl>
      <w:tblPr>
        <w:tblStyle w:val="ac"/>
        <w:tblW w:w="9854"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854"/>
      </w:tblGrid>
      <w:tr w:rsidR="00977CF8" w:rsidTr="00E71A7B">
        <w:tc>
          <w:tcPr>
            <w:tcW w:w="9854" w:type="dxa"/>
          </w:tcPr>
          <w:p w:rsidR="00977CF8" w:rsidRDefault="006157FB">
            <w:pPr>
              <w:spacing w:after="100" w:line="360" w:lineRule="auto"/>
              <w:jc w:val="both"/>
              <w:rPr>
                <w:sz w:val="28"/>
                <w:szCs w:val="28"/>
              </w:rPr>
            </w:pPr>
            <w:r>
              <w:rPr>
                <w:noProof/>
                <w:lang w:val="en-US"/>
              </w:rPr>
              <w:drawing>
                <wp:inline distT="0" distB="0" distL="0" distR="0" wp14:anchorId="499D8648" wp14:editId="3B354DE0">
                  <wp:extent cx="4467225" cy="3327939"/>
                  <wp:effectExtent l="0" t="0" r="0" b="635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64116" cy="3325623"/>
                          </a:xfrm>
                          <a:prstGeom prst="rect">
                            <a:avLst/>
                          </a:prstGeom>
                          <a:ln/>
                        </pic:spPr>
                      </pic:pic>
                    </a:graphicData>
                  </a:graphic>
                </wp:inline>
              </w:drawing>
            </w:r>
          </w:p>
        </w:tc>
      </w:tr>
      <w:tr w:rsidR="00977CF8" w:rsidTr="00E71A7B">
        <w:trPr>
          <w:trHeight w:val="762"/>
        </w:trPr>
        <w:tc>
          <w:tcPr>
            <w:tcW w:w="9854" w:type="dxa"/>
          </w:tcPr>
          <w:p w:rsidR="00977CF8" w:rsidRDefault="006157FB" w:rsidP="00E71A7B">
            <w:pPr>
              <w:spacing w:after="100" w:line="360" w:lineRule="auto"/>
              <w:rPr>
                <w:sz w:val="28"/>
                <w:szCs w:val="28"/>
              </w:rPr>
            </w:pPr>
            <w:r>
              <w:rPr>
                <w:sz w:val="28"/>
                <w:szCs w:val="28"/>
              </w:rPr>
              <w:t>Рисунок 1.5.2 — Спектральні чутливості фотодіодів сенсора</w:t>
            </w:r>
          </w:p>
        </w:tc>
      </w:tr>
    </w:tbl>
    <w:p w:rsidR="00977CF8" w:rsidRDefault="006157FB">
      <w:pPr>
        <w:spacing w:after="100" w:line="360" w:lineRule="auto"/>
        <w:ind w:firstLine="708"/>
        <w:jc w:val="both"/>
        <w:rPr>
          <w:sz w:val="28"/>
          <w:szCs w:val="28"/>
        </w:rPr>
      </w:pPr>
      <w:r>
        <w:rPr>
          <w:sz w:val="28"/>
          <w:szCs w:val="28"/>
        </w:rPr>
        <w:t>Перевагами даного RGBC модуля над попередньо-розглянутими  є те, що сенсор фіксує відразу весь спектр світла. Наявність вбудованого цифрового інтерфейсу дозволяє здійснювати динамічну конфігурацію пристрою.</w:t>
      </w:r>
    </w:p>
    <w:p w:rsidR="00083E3E" w:rsidRDefault="00083E3E" w:rsidP="00083E3E">
      <w:pPr>
        <w:pBdr>
          <w:top w:val="nil"/>
          <w:left w:val="nil"/>
          <w:bottom w:val="nil"/>
          <w:right w:val="nil"/>
          <w:between w:val="nil"/>
        </w:pBdr>
        <w:spacing w:after="240" w:line="360" w:lineRule="auto"/>
        <w:jc w:val="center"/>
        <w:rPr>
          <w:color w:val="000000"/>
          <w:sz w:val="28"/>
          <w:szCs w:val="28"/>
        </w:rPr>
      </w:pPr>
    </w:p>
    <w:p w:rsidR="00083E3E" w:rsidRDefault="00083E3E" w:rsidP="00083E3E">
      <w:pPr>
        <w:pBdr>
          <w:top w:val="nil"/>
          <w:left w:val="nil"/>
          <w:bottom w:val="nil"/>
          <w:right w:val="nil"/>
          <w:between w:val="nil"/>
        </w:pBdr>
        <w:spacing w:after="240" w:line="360" w:lineRule="auto"/>
        <w:jc w:val="center"/>
        <w:rPr>
          <w:color w:val="000000"/>
          <w:sz w:val="28"/>
          <w:szCs w:val="28"/>
        </w:rPr>
      </w:pPr>
      <w:r>
        <w:rPr>
          <w:color w:val="000000"/>
          <w:sz w:val="28"/>
          <w:szCs w:val="28"/>
        </w:rPr>
        <w:t>ОПИС ЦИФРОВОГО ОПТИЧНОГО СПЕКТРОМЕТРА</w:t>
      </w:r>
    </w:p>
    <w:p w:rsidR="00083E3E" w:rsidRDefault="00083E3E" w:rsidP="00083E3E">
      <w:pPr>
        <w:pBdr>
          <w:top w:val="nil"/>
          <w:left w:val="nil"/>
          <w:bottom w:val="nil"/>
          <w:right w:val="nil"/>
          <w:between w:val="nil"/>
        </w:pBdr>
        <w:spacing w:after="100" w:line="360" w:lineRule="auto"/>
        <w:jc w:val="both"/>
        <w:rPr>
          <w:color w:val="000000"/>
          <w:sz w:val="28"/>
          <w:szCs w:val="28"/>
        </w:rPr>
      </w:pPr>
      <w:r>
        <w:rPr>
          <w:color w:val="000000"/>
          <w:sz w:val="28"/>
          <w:szCs w:val="28"/>
        </w:rPr>
        <w:t>Загальні принципи роботи розробленого цифрового оптичного спектрометра для дослідження оптичних властивостей структури напівпровідника</w:t>
      </w:r>
    </w:p>
    <w:p w:rsidR="00083E3E" w:rsidRDefault="00083E3E" w:rsidP="00083E3E">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В рамках роботи був розроблений концепт, основою якого став оптичний спектрометр, а також додаткове обладнання (тримачі, штативи, регулятори та поляризатори). Схема концепту представлена на рисунку </w:t>
      </w:r>
      <w:r>
        <w:rPr>
          <w:sz w:val="28"/>
          <w:szCs w:val="28"/>
        </w:rPr>
        <w:t>2.1.1</w:t>
      </w:r>
      <w:r>
        <w:rPr>
          <w:color w:val="000000"/>
          <w:sz w:val="28"/>
          <w:szCs w:val="28"/>
        </w:rPr>
        <w:t>.</w:t>
      </w:r>
    </w:p>
    <w:p w:rsidR="00083E3E" w:rsidRDefault="00083E3E" w:rsidP="00083E3E">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Світло (2) випромінюється за допомогою лазерного пристрою або </w:t>
      </w:r>
      <w:r>
        <w:rPr>
          <w:sz w:val="28"/>
          <w:szCs w:val="28"/>
        </w:rPr>
        <w:t>кварцової</w:t>
      </w:r>
      <w:r>
        <w:rPr>
          <w:color w:val="000000"/>
          <w:sz w:val="28"/>
          <w:szCs w:val="28"/>
        </w:rPr>
        <w:t xml:space="preserve"> лампи (1), проходить через поляризатор (3). </w:t>
      </w:r>
      <w:r>
        <w:rPr>
          <w:sz w:val="28"/>
          <w:szCs w:val="28"/>
        </w:rPr>
        <w:t xml:space="preserve">Далі світло падає на </w:t>
      </w:r>
      <w:r>
        <w:rPr>
          <w:sz w:val="28"/>
          <w:szCs w:val="28"/>
        </w:rPr>
        <w:lastRenderedPageBreak/>
        <w:t>поверхню напівпрозорого скельця (4) і частково відбиває падаючий промінь (12) в RGBC сенсор (9) спектрометра (10).</w:t>
      </w:r>
      <w:r>
        <w:rPr>
          <w:color w:val="000000"/>
          <w:sz w:val="28"/>
          <w:szCs w:val="28"/>
        </w:rPr>
        <w:t xml:space="preserve"> Поляризоване світло (5), яке проходить через </w:t>
      </w:r>
      <w:r>
        <w:rPr>
          <w:sz w:val="28"/>
          <w:szCs w:val="28"/>
        </w:rPr>
        <w:t>напівпрозоре скельце,</w:t>
      </w:r>
      <w:r>
        <w:rPr>
          <w:color w:val="000000"/>
          <w:sz w:val="28"/>
          <w:szCs w:val="28"/>
        </w:rPr>
        <w:t xml:space="preserve"> падає на поверхню матеріалу (6), після чого відбитий промінь (7) падає на RGBC сенсор (8) спектрометра (10), який передає дані до персонального комп'ютера (11). На ПК проводяться основні математичні обчислення і визначаються оптичні властивості матеріалу по формулі Зельмеєра [8-10], після чого отримані результати порівнюються </w:t>
      </w:r>
      <w:r>
        <w:rPr>
          <w:sz w:val="28"/>
          <w:szCs w:val="28"/>
        </w:rPr>
        <w:t>з</w:t>
      </w:r>
      <w:r>
        <w:rPr>
          <w:color w:val="000000"/>
          <w:sz w:val="28"/>
          <w:szCs w:val="28"/>
        </w:rPr>
        <w:t xml:space="preserve"> табличними даними, які вбудовані в програмне забезпечення. Як результат — визначаємо тип напівпровідникового матеріалу.</w:t>
      </w:r>
    </w:p>
    <w:p w:rsidR="00083E3E" w:rsidRDefault="00083E3E" w:rsidP="00083E3E">
      <w:pPr>
        <w:spacing w:after="100" w:line="360" w:lineRule="auto"/>
        <w:jc w:val="both"/>
        <w:rPr>
          <w:color w:val="000000"/>
          <w:sz w:val="28"/>
          <w:szCs w:val="28"/>
        </w:rPr>
      </w:pPr>
    </w:p>
    <w:tbl>
      <w:tblPr>
        <w:tblW w:w="9638"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638"/>
      </w:tblGrid>
      <w:tr w:rsidR="00083E3E" w:rsidTr="00E71A7B">
        <w:tc>
          <w:tcPr>
            <w:tcW w:w="9638" w:type="dxa"/>
            <w:shd w:val="clear" w:color="auto" w:fill="auto"/>
            <w:tcMar>
              <w:top w:w="100" w:type="dxa"/>
              <w:left w:w="100" w:type="dxa"/>
              <w:bottom w:w="100" w:type="dxa"/>
              <w:right w:w="100" w:type="dxa"/>
            </w:tcMar>
          </w:tcPr>
          <w:p w:rsidR="00083E3E" w:rsidRDefault="00083E3E" w:rsidP="009A5944">
            <w:pPr>
              <w:pBdr>
                <w:top w:val="nil"/>
                <w:left w:val="nil"/>
                <w:bottom w:val="nil"/>
                <w:right w:val="nil"/>
                <w:between w:val="nil"/>
              </w:pBdr>
              <w:spacing w:after="100" w:line="360" w:lineRule="auto"/>
              <w:jc w:val="both"/>
              <w:rPr>
                <w:color w:val="000000"/>
                <w:sz w:val="28"/>
                <w:szCs w:val="28"/>
              </w:rPr>
            </w:pPr>
            <w:r>
              <w:rPr>
                <w:noProof/>
                <w:sz w:val="28"/>
                <w:szCs w:val="28"/>
                <w:lang w:val="en-US"/>
              </w:rPr>
              <w:drawing>
                <wp:inline distT="114300" distB="114300" distL="114300" distR="114300" wp14:anchorId="4249C23A" wp14:editId="22ACF1A8">
                  <wp:extent cx="3743325" cy="2425336"/>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18408"/>
                          <a:stretch>
                            <a:fillRect/>
                          </a:stretch>
                        </pic:blipFill>
                        <pic:spPr>
                          <a:xfrm>
                            <a:off x="0" y="0"/>
                            <a:ext cx="3743325" cy="2425336"/>
                          </a:xfrm>
                          <a:prstGeom prst="rect">
                            <a:avLst/>
                          </a:prstGeom>
                          <a:ln/>
                        </pic:spPr>
                      </pic:pic>
                    </a:graphicData>
                  </a:graphic>
                </wp:inline>
              </w:drawing>
            </w:r>
          </w:p>
        </w:tc>
      </w:tr>
      <w:tr w:rsidR="00083E3E" w:rsidTr="00E71A7B">
        <w:tc>
          <w:tcPr>
            <w:tcW w:w="9638" w:type="dxa"/>
            <w:shd w:val="clear" w:color="auto" w:fill="auto"/>
            <w:tcMar>
              <w:top w:w="100" w:type="dxa"/>
              <w:left w:w="100" w:type="dxa"/>
              <w:bottom w:w="100" w:type="dxa"/>
              <w:right w:w="100" w:type="dxa"/>
            </w:tcMar>
          </w:tcPr>
          <w:p w:rsidR="00083E3E" w:rsidRDefault="00083E3E" w:rsidP="00E71A7B">
            <w:pPr>
              <w:widowControl w:val="0"/>
              <w:pBdr>
                <w:top w:val="nil"/>
                <w:left w:val="nil"/>
                <w:bottom w:val="nil"/>
                <w:right w:val="nil"/>
                <w:between w:val="nil"/>
              </w:pBdr>
              <w:spacing w:line="360" w:lineRule="auto"/>
              <w:rPr>
                <w:color w:val="000000"/>
                <w:sz w:val="28"/>
                <w:szCs w:val="28"/>
              </w:rPr>
            </w:pPr>
            <w:r>
              <w:rPr>
                <w:color w:val="000000"/>
                <w:sz w:val="28"/>
                <w:szCs w:val="28"/>
              </w:rPr>
              <w:t>Ри</w:t>
            </w:r>
            <w:r>
              <w:rPr>
                <w:sz w:val="28"/>
                <w:szCs w:val="28"/>
              </w:rPr>
              <w:t>сунок 2.1.1 —</w:t>
            </w:r>
            <w:r>
              <w:rPr>
                <w:color w:val="000000"/>
                <w:sz w:val="28"/>
                <w:szCs w:val="28"/>
              </w:rPr>
              <w:t xml:space="preserve"> Схема концепту цифрового оптичного спектрометра</w:t>
            </w:r>
          </w:p>
        </w:tc>
      </w:tr>
    </w:tbl>
    <w:p w:rsidR="00083E3E" w:rsidRDefault="00083E3E" w:rsidP="00083E3E">
      <w:pPr>
        <w:pBdr>
          <w:top w:val="nil"/>
          <w:left w:val="nil"/>
          <w:bottom w:val="nil"/>
          <w:right w:val="nil"/>
          <w:between w:val="nil"/>
        </w:pBdr>
        <w:spacing w:after="100" w:line="360" w:lineRule="auto"/>
        <w:jc w:val="both"/>
        <w:rPr>
          <w:color w:val="000000"/>
          <w:sz w:val="28"/>
          <w:szCs w:val="28"/>
        </w:rPr>
      </w:pPr>
    </w:p>
    <w:p w:rsidR="00083E3E" w:rsidRDefault="00083E3E" w:rsidP="00083E3E">
      <w:pPr>
        <w:pBdr>
          <w:top w:val="nil"/>
          <w:left w:val="nil"/>
          <w:bottom w:val="nil"/>
          <w:right w:val="nil"/>
          <w:between w:val="nil"/>
        </w:pBdr>
        <w:spacing w:after="100" w:line="360" w:lineRule="auto"/>
        <w:jc w:val="both"/>
        <w:rPr>
          <w:color w:val="000000"/>
          <w:sz w:val="28"/>
          <w:szCs w:val="28"/>
        </w:rPr>
      </w:pPr>
      <w:r>
        <w:rPr>
          <w:color w:val="000000"/>
          <w:sz w:val="28"/>
          <w:szCs w:val="28"/>
        </w:rPr>
        <w:t>Формула Зельмеєра та її опис</w:t>
      </w:r>
    </w:p>
    <w:p w:rsidR="00083E3E" w:rsidRDefault="00083E3E" w:rsidP="00083E3E">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Формула або як її ще називають рівняння Зельмеєра представляє собою емпіричну функцію, яка описує залежність коефіцієнта відбивання від довжини хвилі. Рівняння використовується для визначення дисперсії світла в прозорому середовищі без наявності резонансу і при мінімальному поглинанні. Рівняння вперше було запропоновано в 1872 році Вільгельмом Зельмеєром і являлося розвитком роботи Огюстена Коші. [</w:t>
      </w:r>
      <w:r>
        <w:rPr>
          <w:sz w:val="28"/>
          <w:szCs w:val="28"/>
        </w:rPr>
        <w:t>8-10</w:t>
      </w:r>
      <w:r>
        <w:rPr>
          <w:color w:val="000000"/>
          <w:sz w:val="28"/>
          <w:szCs w:val="28"/>
        </w:rPr>
        <w:t>].</w:t>
      </w:r>
    </w:p>
    <w:p w:rsidR="00083E3E" w:rsidRDefault="00083E3E" w:rsidP="00083E3E">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Рівняння Зельмеєра виглядає:</w:t>
      </w:r>
    </w:p>
    <w:tbl>
      <w:tblPr>
        <w:tblW w:w="9638" w:type="dxa"/>
        <w:tblInd w:w="-100" w:type="dxa"/>
        <w:tblLayout w:type="fixed"/>
        <w:tblLook w:val="0600" w:firstRow="0" w:lastRow="0" w:firstColumn="0" w:lastColumn="0" w:noHBand="1" w:noVBand="1"/>
      </w:tblPr>
      <w:tblGrid>
        <w:gridCol w:w="7755"/>
        <w:gridCol w:w="1883"/>
      </w:tblGrid>
      <w:tr w:rsidR="00083E3E" w:rsidTr="009A5944">
        <w:tc>
          <w:tcPr>
            <w:tcW w:w="7755" w:type="dxa"/>
            <w:shd w:val="clear" w:color="auto" w:fill="auto"/>
            <w:tcMar>
              <w:top w:w="100" w:type="dxa"/>
              <w:left w:w="100" w:type="dxa"/>
              <w:bottom w:w="100" w:type="dxa"/>
              <w:right w:w="100" w:type="dxa"/>
            </w:tcMar>
          </w:tcPr>
          <w:p w:rsidR="00083E3E" w:rsidRDefault="00083E3E" w:rsidP="009A5944">
            <w:pPr>
              <w:pBdr>
                <w:top w:val="nil"/>
                <w:left w:val="nil"/>
                <w:bottom w:val="nil"/>
                <w:right w:val="nil"/>
                <w:between w:val="nil"/>
              </w:pBdr>
              <w:spacing w:after="100" w:line="360" w:lineRule="auto"/>
              <w:ind w:firstLine="720"/>
              <w:jc w:val="both"/>
              <w:rPr>
                <w:i/>
                <w:color w:val="000000"/>
                <w:sz w:val="28"/>
                <w:szCs w:val="28"/>
              </w:rPr>
            </w:pPr>
            <m:oMath>
              <m:r>
                <w:rPr>
                  <w:rFonts w:ascii="Cambria Math" w:eastAsia="Cambria Math" w:hAnsi="Cambria Math" w:cs="Cambria Math"/>
                  <w:color w:val="000000"/>
                  <w:sz w:val="28"/>
                  <w:szCs w:val="28"/>
                </w:rPr>
                <w:lastRenderedPageBreak/>
                <m:t>n(λ)=</m:t>
              </m:r>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1+</m:t>
                  </m:r>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i=0</m:t>
                      </m:r>
                    </m:sub>
                    <m:sup>
                      <m:r>
                        <w:rPr>
                          <w:rFonts w:ascii="Cambria Math" w:eastAsia="Cambria Math" w:hAnsi="Cambria Math" w:cs="Cambria Math"/>
                          <w:color w:val="000000"/>
                          <w:sz w:val="28"/>
                          <w:szCs w:val="28"/>
                        </w:rPr>
                        <m:t>2</m:t>
                      </m:r>
                    </m:sup>
                    <m:e/>
                  </m:nary>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λ</m:t>
                          </m:r>
                        </m:e>
                        <m:sup>
                          <m:r>
                            <w:rPr>
                              <w:rFonts w:ascii="Cambria Math" w:eastAsia="Cambria Math" w:hAnsi="Cambria Math" w:cs="Cambria Math"/>
                              <w:color w:val="000000"/>
                              <w:sz w:val="28"/>
                              <w:szCs w:val="28"/>
                            </w:rPr>
                            <m:t>2</m:t>
                          </m:r>
                        </m:sup>
                      </m:sSup>
                    </m:num>
                    <m:den>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λ</m:t>
                          </m:r>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den>
                  </m:f>
                </m:e>
              </m:rad>
            </m:oMath>
            <w:r>
              <w:rPr>
                <w:i/>
                <w:color w:val="000000"/>
                <w:sz w:val="28"/>
                <w:szCs w:val="28"/>
              </w:rPr>
              <w:t>,</w:t>
            </w:r>
          </w:p>
        </w:tc>
        <w:tc>
          <w:tcPr>
            <w:tcW w:w="1883" w:type="dxa"/>
            <w:shd w:val="clear" w:color="auto" w:fill="auto"/>
          </w:tcPr>
          <w:p w:rsidR="00083E3E" w:rsidRDefault="00083E3E" w:rsidP="009A5944">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(1)</w:t>
            </w:r>
          </w:p>
        </w:tc>
      </w:tr>
    </w:tbl>
    <w:p w:rsidR="00083E3E" w:rsidRDefault="00083E3E" w:rsidP="00083E3E">
      <w:pPr>
        <w:pBdr>
          <w:top w:val="nil"/>
          <w:left w:val="nil"/>
          <w:bottom w:val="nil"/>
          <w:right w:val="nil"/>
          <w:between w:val="nil"/>
        </w:pBdr>
        <w:spacing w:after="100" w:line="360" w:lineRule="auto"/>
        <w:jc w:val="both"/>
        <w:rPr>
          <w:color w:val="000000"/>
          <w:sz w:val="28"/>
          <w:szCs w:val="28"/>
        </w:rPr>
      </w:pPr>
      <w:r>
        <w:rPr>
          <w:color w:val="000000"/>
          <w:sz w:val="28"/>
          <w:szCs w:val="28"/>
        </w:rPr>
        <w:t xml:space="preserve">де </w:t>
      </w:r>
      <m:oMath>
        <m:r>
          <w:rPr>
            <w:rFonts w:ascii="Cambria Math" w:eastAsia="Cambria Math" w:hAnsi="Cambria Math" w:cs="Cambria Math"/>
            <w:color w:val="000000"/>
            <w:sz w:val="28"/>
            <w:szCs w:val="28"/>
          </w:rPr>
          <m:t>n</m:t>
        </m:r>
      </m:oMath>
      <w:r>
        <w:rPr>
          <w:color w:val="000000"/>
          <w:sz w:val="28"/>
          <w:szCs w:val="28"/>
        </w:rPr>
        <w:t xml:space="preserve"> - refractive index, </w:t>
      </w:r>
      <m:oMath>
        <m:r>
          <w:rPr>
            <w:rFonts w:ascii="Cambria Math" w:hAnsi="Cambria Math"/>
          </w:rPr>
          <m:t>λ</m:t>
        </m:r>
      </m:oMath>
      <w:r>
        <w:rPr>
          <w:color w:val="000000"/>
          <w:sz w:val="28"/>
          <w:szCs w:val="28"/>
        </w:rPr>
        <w:t xml:space="preserve"> - довжина хвилі, а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oMath>
      <w:r>
        <w:rPr>
          <w:color w:val="000000"/>
          <w:sz w:val="28"/>
          <w:szCs w:val="28"/>
        </w:rPr>
        <w:t xml:space="preserve"> і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oMath>
      <w:r>
        <w:rPr>
          <w:color w:val="000000"/>
          <w:sz w:val="28"/>
          <w:szCs w:val="28"/>
        </w:rPr>
        <w:t xml:space="preserve"> — експериментально визначенні коефіцієнти Зельмеєра. Коефіцієнти С зазвичай вказують в мікрометрах в квадраті.</w:t>
      </w:r>
    </w:p>
    <w:p w:rsidR="00083E3E" w:rsidRDefault="00083E3E" w:rsidP="00083E3E">
      <w:pPr>
        <w:pBdr>
          <w:top w:val="nil"/>
          <w:left w:val="nil"/>
          <w:bottom w:val="nil"/>
          <w:right w:val="nil"/>
          <w:between w:val="nil"/>
        </w:pBdr>
        <w:spacing w:after="100" w:line="360" w:lineRule="auto"/>
        <w:ind w:firstLine="720"/>
        <w:jc w:val="both"/>
        <w:rPr>
          <w:color w:val="000000"/>
          <w:sz w:val="28"/>
          <w:szCs w:val="28"/>
        </w:rPr>
      </w:pPr>
      <w:r>
        <w:rPr>
          <w:color w:val="000000"/>
          <w:sz w:val="28"/>
          <w:szCs w:val="28"/>
        </w:rPr>
        <w:t xml:space="preserve">Кожен член суми представляє собою резонанс поглинання з силою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i</m:t>
            </m:r>
          </m:sub>
        </m:sSub>
      </m:oMath>
      <w:r>
        <w:rPr>
          <w:color w:val="000000"/>
          <w:sz w:val="28"/>
          <w:szCs w:val="28"/>
        </w:rPr>
        <w:t xml:space="preserve"> на довжині хвилі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i</m:t>
                </m:r>
              </m:sub>
            </m:sSub>
            <m:r>
              <w:rPr>
                <w:rFonts w:ascii="Cambria Math" w:eastAsia="Cambria Math" w:hAnsi="Cambria Math" w:cs="Cambria Math"/>
                <w:color w:val="000000"/>
                <w:sz w:val="28"/>
                <w:szCs w:val="28"/>
              </w:rPr>
              <m:t>)</m:t>
            </m:r>
          </m:e>
          <m:sup>
            <m:r>
              <w:rPr>
                <w:rFonts w:ascii="Cambria Math" w:eastAsia="Cambria Math" w:hAnsi="Cambria Math" w:cs="Cambria Math"/>
                <w:color w:val="000000"/>
                <w:sz w:val="28"/>
                <w:szCs w:val="28"/>
              </w:rPr>
              <m:t>1/2</m:t>
            </m:r>
          </m:sup>
        </m:sSup>
      </m:oMath>
      <w:r>
        <w:rPr>
          <w:color w:val="000000"/>
          <w:sz w:val="28"/>
          <w:szCs w:val="28"/>
        </w:rPr>
        <w:t>.</w:t>
      </w:r>
    </w:p>
    <w:p w:rsidR="00083E3E" w:rsidRDefault="00083E3E" w:rsidP="00083E3E">
      <w:pPr>
        <w:pBdr>
          <w:top w:val="nil"/>
          <w:left w:val="nil"/>
          <w:bottom w:val="nil"/>
          <w:right w:val="nil"/>
          <w:between w:val="nil"/>
        </w:pBdr>
        <w:spacing w:after="100" w:line="360" w:lineRule="auto"/>
        <w:jc w:val="center"/>
        <w:rPr>
          <w:color w:val="000000"/>
          <w:sz w:val="28"/>
          <w:szCs w:val="28"/>
        </w:rPr>
      </w:pPr>
      <w:r>
        <w:rPr>
          <w:color w:val="000000"/>
          <w:sz w:val="28"/>
          <w:szCs w:val="28"/>
        </w:rPr>
        <w:t>Таблиця 2</w:t>
      </w:r>
      <w:r>
        <w:rPr>
          <w:sz w:val="28"/>
          <w:szCs w:val="28"/>
        </w:rPr>
        <w:t>.2.1</w:t>
      </w:r>
      <w:r>
        <w:rPr>
          <w:color w:val="000000"/>
          <w:sz w:val="28"/>
          <w:szCs w:val="28"/>
        </w:rPr>
        <w:t xml:space="preserve"> — коефіцієнти Зельмеєра для різних матеріалів</w:t>
      </w:r>
    </w:p>
    <w:tbl>
      <w:tblPr>
        <w:tblW w:w="95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185"/>
        <w:gridCol w:w="1365"/>
        <w:gridCol w:w="1365"/>
        <w:gridCol w:w="1365"/>
        <w:gridCol w:w="1365"/>
        <w:gridCol w:w="1365"/>
      </w:tblGrid>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Матеріал</w:t>
            </w:r>
          </w:p>
        </w:tc>
        <w:tc>
          <w:tcPr>
            <w:tcW w:w="118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1</m:t>
                    </m:r>
                  </m:sub>
                </m:sSub>
              </m:oMath>
            </m:oMathPara>
          </w:p>
        </w:tc>
        <w:tc>
          <w:tcPr>
            <w:tcW w:w="136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2</m:t>
                    </m:r>
                  </m:sub>
                </m:sSub>
              </m:oMath>
            </m:oMathPara>
          </w:p>
        </w:tc>
        <w:tc>
          <w:tcPr>
            <w:tcW w:w="136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3</m:t>
                    </m:r>
                  </m:sub>
                </m:sSub>
              </m:oMath>
            </m:oMathPara>
          </w:p>
        </w:tc>
        <w:tc>
          <w:tcPr>
            <w:tcW w:w="136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1</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c>
          <w:tcPr>
            <w:tcW w:w="136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2</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c>
          <w:tcPr>
            <w:tcW w:w="1365" w:type="dxa"/>
            <w:shd w:val="clear" w:color="auto" w:fill="auto"/>
            <w:tcMar>
              <w:top w:w="100" w:type="dxa"/>
              <w:left w:w="100" w:type="dxa"/>
              <w:bottom w:w="100" w:type="dxa"/>
              <w:right w:w="100" w:type="dxa"/>
            </w:tcMar>
          </w:tcPr>
          <w:p w:rsidR="00083E3E" w:rsidRDefault="00083E3E" w:rsidP="009A5944">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С</m:t>
                    </m:r>
                  </m:e>
                  <m:sub>
                    <m:r>
                      <w:rPr>
                        <w:rFonts w:ascii="Cambria Math" w:eastAsia="Cambria Math" w:hAnsi="Cambria Math" w:cs="Cambria Math"/>
                        <w:color w:val="000000"/>
                        <w:sz w:val="28"/>
                        <w:szCs w:val="28"/>
                      </w:rPr>
                      <m:t>3</m:t>
                    </m:r>
                  </m:sub>
                </m:sSub>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мкм</m:t>
                    </m:r>
                  </m:e>
                  <m:sup>
                    <m:r>
                      <w:rPr>
                        <w:rFonts w:ascii="Cambria Math" w:eastAsia="Cambria Math" w:hAnsi="Cambria Math" w:cs="Cambria Math"/>
                        <w:color w:val="000000"/>
                        <w:sz w:val="28"/>
                        <w:szCs w:val="28"/>
                      </w:rPr>
                      <m:t>2</m:t>
                    </m:r>
                  </m:sup>
                </m:sSup>
              </m:oMath>
            </m:oMathPara>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Скло (крон)</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1.03961212</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0.231792344</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1.01046945</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6.00069867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2.00179144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103.560653</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Сапфір (для звичайної хвилі)</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1.43134930</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0.65054713</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5.3414021</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5.2799261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1.42382647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325.017834</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Сапфір (для не звичайної хвилі)</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1.5039759</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0.55069141</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6.5927379</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5.48041129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1.47994281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402.89514</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Плавлений кварц</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0.696166300</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0.407942600</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0.897479400</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4.67914826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-3</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 xml:space="preserve">1.35120631 *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10</m:t>
                  </m:r>
                </m:e>
                <m:sup>
                  <m:r>
                    <w:rPr>
                      <w:rFonts w:ascii="Cambria Math" w:eastAsia="Cambria Math" w:hAnsi="Cambria Math" w:cs="Cambria Math"/>
                      <w:color w:val="000000"/>
                      <w:sz w:val="28"/>
                      <w:szCs w:val="28"/>
                    </w:rPr>
                    <m:t>-2</m:t>
                  </m:r>
                </m:sup>
              </m:sSup>
            </m:oMath>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97.9340025</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Фторид магнію</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0.48755108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0.39875031</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2.3120353</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0.001882178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0.008951888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566,13559</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Силікон</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10.6684293</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0.0030434748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1.54133408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0.0909121907</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1.28766018</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color w:val="000000"/>
                <w:sz w:val="28"/>
                <w:szCs w:val="28"/>
              </w:rPr>
              <w:t>1,218,816</w:t>
            </w:r>
          </w:p>
        </w:tc>
      </w:tr>
      <w:tr w:rsidR="00083E3E" w:rsidTr="009A5944">
        <w:tc>
          <w:tcPr>
            <w:tcW w:w="154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lastRenderedPageBreak/>
              <w:t>Арсенід галію</w:t>
            </w:r>
          </w:p>
        </w:tc>
        <w:tc>
          <w:tcPr>
            <w:tcW w:w="118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27.83972</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0.031764</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0.001 43636</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0.4431307</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0.8746453</w:t>
            </w:r>
          </w:p>
        </w:tc>
        <w:tc>
          <w:tcPr>
            <w:tcW w:w="1365" w:type="dxa"/>
            <w:shd w:val="clear" w:color="auto" w:fill="auto"/>
            <w:tcMar>
              <w:top w:w="100" w:type="dxa"/>
              <w:left w:w="100" w:type="dxa"/>
              <w:bottom w:w="100" w:type="dxa"/>
              <w:right w:w="100" w:type="dxa"/>
            </w:tcMar>
          </w:tcPr>
          <w:p w:rsidR="00083E3E" w:rsidRDefault="00083E3E" w:rsidP="009A5944">
            <w:pPr>
              <w:widowControl w:val="0"/>
              <w:pBdr>
                <w:top w:val="nil"/>
                <w:left w:val="nil"/>
                <w:bottom w:val="nil"/>
                <w:right w:val="nil"/>
                <w:between w:val="nil"/>
              </w:pBdr>
              <w:spacing w:line="360" w:lineRule="auto"/>
              <w:jc w:val="center"/>
              <w:rPr>
                <w:color w:val="000000"/>
                <w:sz w:val="28"/>
                <w:szCs w:val="28"/>
              </w:rPr>
            </w:pPr>
            <w:r>
              <w:rPr>
                <w:sz w:val="28"/>
                <w:szCs w:val="28"/>
              </w:rPr>
              <w:t>36.9166</w:t>
            </w:r>
          </w:p>
        </w:tc>
      </w:tr>
    </w:tbl>
    <w:p w:rsidR="00083E3E" w:rsidRDefault="00083E3E" w:rsidP="00083E3E">
      <w:pPr>
        <w:pBdr>
          <w:top w:val="nil"/>
          <w:left w:val="nil"/>
          <w:bottom w:val="nil"/>
          <w:right w:val="nil"/>
          <w:between w:val="nil"/>
        </w:pBdr>
        <w:spacing w:after="100" w:line="360" w:lineRule="auto"/>
        <w:jc w:val="both"/>
        <w:rPr>
          <w:sz w:val="28"/>
          <w:szCs w:val="28"/>
        </w:rPr>
      </w:pPr>
    </w:p>
    <w:p w:rsidR="00083E3E" w:rsidRDefault="00083E3E" w:rsidP="00083E3E">
      <w:pPr>
        <w:pBdr>
          <w:top w:val="nil"/>
          <w:left w:val="nil"/>
          <w:bottom w:val="nil"/>
          <w:right w:val="nil"/>
          <w:between w:val="nil"/>
        </w:pBdr>
        <w:spacing w:after="100" w:line="360" w:lineRule="auto"/>
        <w:jc w:val="both"/>
      </w:pPr>
      <w:r>
        <w:rPr>
          <w:color w:val="000000"/>
          <w:sz w:val="28"/>
          <w:szCs w:val="28"/>
        </w:rPr>
        <w:t>2.</w:t>
      </w:r>
      <w:r>
        <w:rPr>
          <w:sz w:val="28"/>
          <w:szCs w:val="28"/>
        </w:rPr>
        <w:t>3</w:t>
      </w:r>
      <w:r>
        <w:rPr>
          <w:color w:val="000000"/>
          <w:sz w:val="28"/>
          <w:szCs w:val="28"/>
        </w:rPr>
        <w:t xml:space="preserve"> Математи</w:t>
      </w:r>
      <w:r>
        <w:rPr>
          <w:sz w:val="28"/>
          <w:szCs w:val="28"/>
        </w:rPr>
        <w:t>чне обґрунтування визначення коефіцієнтів для досліджуваного матеріалу</w:t>
      </w:r>
    </w:p>
    <w:p w:rsidR="00083E3E" w:rsidRDefault="00083E3E" w:rsidP="00083E3E">
      <w:pPr>
        <w:spacing w:line="360" w:lineRule="auto"/>
        <w:ind w:firstLine="720"/>
        <w:jc w:val="both"/>
        <w:rPr>
          <w:sz w:val="28"/>
          <w:szCs w:val="28"/>
        </w:rPr>
      </w:pPr>
      <w:r>
        <w:rPr>
          <w:sz w:val="28"/>
          <w:szCs w:val="28"/>
        </w:rPr>
        <w:t>З отриманих спектрів відбивання в усьому оптичному діапазоні було визначено оптичні та псевдо-оптичні константи досліджуваних структур. Для цього скористаємося комплексним аналізом, описаним в роботі [17].</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451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5pt;height:24pt" o:ole="">
                  <v:imagedata r:id="rId18" o:title=""/>
                </v:shape>
                <o:OLEObject Type="Embed" ProgID="Equation.3" ShapeID="_x0000_i1025" DrawAspect="Content" ObjectID="_1755443610" r:id="rId19"/>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(2)</w:t>
            </w:r>
          </w:p>
        </w:tc>
      </w:tr>
    </w:tbl>
    <w:p w:rsidR="00083E3E" w:rsidRDefault="00083E3E" w:rsidP="00083E3E">
      <w:pPr>
        <w:spacing w:line="360" w:lineRule="auto"/>
        <w:ind w:firstLine="720"/>
        <w:jc w:val="both"/>
        <w:rPr>
          <w:sz w:val="28"/>
          <w:szCs w:val="28"/>
        </w:rPr>
      </w:pPr>
      <w:r>
        <w:rPr>
          <w:sz w:val="28"/>
          <w:szCs w:val="28"/>
        </w:rPr>
        <w:t>Запис комплексного числа представлений у формах: Ейлера, тригонометричній та алгебраїчній.</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4760" w:dyaOrig="550">
                <v:shape id="_x0000_i1026" type="#_x0000_t75" style="width:237.75pt;height:27.75pt" o:ole="">
                  <v:imagedata r:id="rId20" o:title=""/>
                </v:shape>
                <o:OLEObject Type="Embed" ProgID="Equation.3" ShapeID="_x0000_i1026" DrawAspect="Content" ObjectID="_1755443611" r:id="rId21"/>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(3)</w:t>
            </w:r>
          </w:p>
        </w:tc>
      </w:tr>
    </w:tbl>
    <w:p w:rsidR="00083E3E" w:rsidRDefault="00083E3E" w:rsidP="00083E3E">
      <w:pPr>
        <w:spacing w:line="360" w:lineRule="auto"/>
        <w:jc w:val="both"/>
        <w:rPr>
          <w:sz w:val="28"/>
          <w:szCs w:val="28"/>
        </w:rPr>
      </w:pP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6970" w:dyaOrig="4560">
                <v:shape id="_x0000_i1027" type="#_x0000_t75" style="width:348.75pt;height:228pt" o:ole="">
                  <v:imagedata r:id="rId22" o:title=""/>
                </v:shape>
                <o:OLEObject Type="Embed" ProgID="Equation.3" ShapeID="_x0000_i1027" DrawAspect="Content" ObjectID="_1755443612" r:id="rId23"/>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(4)</w:t>
            </w:r>
          </w:p>
        </w:tc>
      </w:tr>
    </w:tbl>
    <w:p w:rsidR="00083E3E" w:rsidRDefault="00083E3E" w:rsidP="00083E3E">
      <w:pPr>
        <w:spacing w:line="360" w:lineRule="auto"/>
        <w:ind w:firstLine="720"/>
        <w:jc w:val="both"/>
        <w:rPr>
          <w:sz w:val="28"/>
          <w:szCs w:val="28"/>
        </w:rPr>
      </w:pPr>
      <w:r>
        <w:rPr>
          <w:sz w:val="28"/>
          <w:szCs w:val="28"/>
        </w:rPr>
        <w:t>Рівняння Френеля для комплексного коефіцієнту відбиття при нормальному падінні світла запишемо у наступному вигляді:</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7190" w:dyaOrig="900">
                <v:shape id="_x0000_i1028" type="#_x0000_t75" style="width:359.25pt;height:45pt" o:ole="">
                  <v:imagedata r:id="rId24" o:title=""/>
                </v:shape>
                <o:OLEObject Type="Embed" ProgID="Equation.3" ShapeID="_x0000_i1028" DrawAspect="Content" ObjectID="_1755443613" r:id="rId25"/>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(5)</w:t>
            </w:r>
          </w:p>
        </w:tc>
      </w:tr>
    </w:tbl>
    <w:p w:rsidR="00083E3E" w:rsidRDefault="00083E3E" w:rsidP="00083E3E">
      <w:pPr>
        <w:spacing w:line="360" w:lineRule="auto"/>
        <w:jc w:val="both"/>
        <w:rPr>
          <w:sz w:val="28"/>
          <w:szCs w:val="28"/>
        </w:rPr>
      </w:pPr>
      <w:r>
        <w:rPr>
          <w:sz w:val="28"/>
          <w:szCs w:val="28"/>
        </w:rPr>
        <w:lastRenderedPageBreak/>
        <w:t xml:space="preserve">де, </w:t>
      </w:r>
      <w:r>
        <w:rPr>
          <w:sz w:val="28"/>
          <w:szCs w:val="28"/>
          <w:vertAlign w:val="subscript"/>
        </w:rPr>
        <w:object w:dxaOrig="2250" w:dyaOrig="440">
          <v:shape id="_x0000_i1029" type="#_x0000_t75" style="width:112.5pt;height:21.75pt" o:ole="">
            <v:imagedata r:id="rId26" o:title=""/>
          </v:shape>
          <o:OLEObject Type="Embed" ProgID="Equation.3" ShapeID="_x0000_i1029" DrawAspect="Content" ObjectID="_1755443614" r:id="rId27"/>
        </w:object>
      </w:r>
      <w:r>
        <w:rPr>
          <w:sz w:val="28"/>
          <w:szCs w:val="28"/>
        </w:rPr>
        <w:t xml:space="preserve"> – комплексний показник заломлення; </w:t>
      </w:r>
      <w:r>
        <w:rPr>
          <w:i/>
          <w:sz w:val="28"/>
          <w:szCs w:val="28"/>
        </w:rPr>
        <w:t>n, k</w:t>
      </w:r>
      <w:r>
        <w:rPr>
          <w:sz w:val="28"/>
          <w:szCs w:val="28"/>
        </w:rPr>
        <w:t xml:space="preserve"> – дійсна та уявна його складові, модуль комплексного числа дорівнює кореню інтенсивності відбитого світла:</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2280" w:dyaOrig="550">
                <v:shape id="_x0000_i1030" type="#_x0000_t75" style="width:114pt;height:27.75pt" o:ole="">
                  <v:imagedata r:id="rId28" o:title=""/>
                </v:shape>
                <o:OLEObject Type="Embed" ProgID="Equation.3" ShapeID="_x0000_i1030" DrawAspect="Content" ObjectID="_1755443615" r:id="rId29"/>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(6)</w:t>
            </w:r>
          </w:p>
        </w:tc>
      </w:tr>
    </w:tbl>
    <w:p w:rsidR="00083E3E" w:rsidRDefault="00083E3E" w:rsidP="00083E3E">
      <w:pPr>
        <w:spacing w:line="360" w:lineRule="auto"/>
        <w:ind w:firstLine="720"/>
        <w:jc w:val="both"/>
        <w:rPr>
          <w:sz w:val="28"/>
          <w:szCs w:val="28"/>
        </w:rPr>
      </w:pPr>
      <w:r>
        <w:rPr>
          <w:sz w:val="28"/>
          <w:szCs w:val="28"/>
        </w:rPr>
        <w:t xml:space="preserve">Домноживши </w:t>
      </w:r>
      <w:r>
        <w:rPr>
          <w:sz w:val="28"/>
          <w:szCs w:val="28"/>
          <w:vertAlign w:val="subscript"/>
        </w:rPr>
        <w:object w:dxaOrig="620" w:dyaOrig="380">
          <v:shape id="_x0000_i1031" type="#_x0000_t75" style="width:30.75pt;height:18.75pt" o:ole="">
            <v:imagedata r:id="rId30" o:title=""/>
          </v:shape>
          <o:OLEObject Type="Embed" ProgID="Equation.3" ShapeID="_x0000_i1031" DrawAspect="Content" ObjectID="_1755443616" r:id="rId31"/>
        </w:object>
      </w:r>
      <w:r>
        <w:rPr>
          <w:sz w:val="28"/>
          <w:szCs w:val="28"/>
        </w:rPr>
        <w:t xml:space="preserve">на комплексно спряжене число </w:t>
      </w:r>
      <w:r>
        <w:rPr>
          <w:sz w:val="28"/>
          <w:szCs w:val="28"/>
          <w:vertAlign w:val="subscript"/>
        </w:rPr>
        <w:object w:dxaOrig="730" w:dyaOrig="420">
          <v:shape id="_x0000_i1032" type="#_x0000_t75" style="width:36.75pt;height:21pt" o:ole="">
            <v:imagedata r:id="rId32" o:title=""/>
          </v:shape>
          <o:OLEObject Type="Embed" ProgID="Equation.3" ShapeID="_x0000_i1032" DrawAspect="Content" ObjectID="_1755443617" r:id="rId33"/>
        </w:object>
      </w:r>
      <w:r>
        <w:rPr>
          <w:sz w:val="28"/>
          <w:szCs w:val="28"/>
        </w:rPr>
        <w:t xml:space="preserve"> позбудемося комплексності виразу.</w:t>
      </w:r>
    </w:p>
    <w:p w:rsidR="00083E3E" w:rsidRDefault="00083E3E" w:rsidP="00083E3E">
      <w:pPr>
        <w:spacing w:line="360" w:lineRule="auto"/>
        <w:ind w:firstLine="720"/>
        <w:jc w:val="both"/>
        <w:rPr>
          <w:sz w:val="28"/>
          <w:szCs w:val="28"/>
        </w:rPr>
      </w:pPr>
      <w:r>
        <w:rPr>
          <w:sz w:val="28"/>
          <w:szCs w:val="28"/>
        </w:rPr>
        <w:t>Для виділення дійсної і уявної частини комплексного відбивання рівняння Френеля зручно представляти в алгебраїчній формі:</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4990" w:dyaOrig="880">
                <v:shape id="_x0000_i1033" type="#_x0000_t75" style="width:249.75pt;height:44.25pt" o:ole="">
                  <v:imagedata r:id="rId34" o:title=""/>
                </v:shape>
                <o:OLEObject Type="Embed" ProgID="Equation.3" ShapeID="_x0000_i1033" DrawAspect="Content" ObjectID="_1755443618" r:id="rId35"/>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(7)</w:t>
            </w:r>
          </w:p>
        </w:tc>
      </w:tr>
    </w:tbl>
    <w:p w:rsidR="00083E3E" w:rsidRDefault="00083E3E" w:rsidP="00083E3E">
      <w:pPr>
        <w:spacing w:line="360" w:lineRule="auto"/>
        <w:jc w:val="both"/>
        <w:rPr>
          <w:sz w:val="28"/>
          <w:szCs w:val="28"/>
        </w:rPr>
      </w:pP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3280" w:dyaOrig="3460">
                <v:shape id="_x0000_i1034" type="#_x0000_t75" style="width:164.25pt;height:173.25pt" o:ole="">
                  <v:imagedata r:id="rId36" o:title=""/>
                </v:shape>
                <o:OLEObject Type="Embed" ProgID="Equation.3" ShapeID="_x0000_i1034" DrawAspect="Content" ObjectID="_1755443619" r:id="rId37"/>
              </w:object>
            </w:r>
          </w:p>
        </w:tc>
        <w:tc>
          <w:tcPr>
            <w:tcW w:w="1244" w:type="dxa"/>
            <w:vAlign w:val="center"/>
          </w:tcPr>
          <w:p w:rsidR="00083E3E" w:rsidRDefault="00083E3E" w:rsidP="009A5944">
            <w:pPr>
              <w:widowControl w:val="0"/>
              <w:spacing w:line="360" w:lineRule="auto"/>
              <w:jc w:val="both"/>
              <w:rPr>
                <w:sz w:val="28"/>
                <w:szCs w:val="28"/>
              </w:rPr>
            </w:pPr>
            <w:r>
              <w:rPr>
                <w:sz w:val="28"/>
                <w:szCs w:val="28"/>
              </w:rPr>
              <w:t>(8)</w:t>
            </w:r>
          </w:p>
        </w:tc>
      </w:tr>
    </w:tbl>
    <w:p w:rsidR="00083E3E" w:rsidRDefault="00083E3E" w:rsidP="00083E3E">
      <w:pPr>
        <w:spacing w:line="360" w:lineRule="auto"/>
        <w:ind w:firstLine="720"/>
        <w:jc w:val="both"/>
        <w:rPr>
          <w:sz w:val="28"/>
          <w:szCs w:val="28"/>
        </w:rPr>
      </w:pPr>
      <w:r>
        <w:rPr>
          <w:sz w:val="28"/>
          <w:szCs w:val="28"/>
        </w:rPr>
        <w:t xml:space="preserve">Оскільки вимірювання проводяться в повітрі, то </w:t>
      </w:r>
      <w:r>
        <w:rPr>
          <w:i/>
          <w:sz w:val="28"/>
          <w:szCs w:val="28"/>
        </w:rPr>
        <w:t>n</w:t>
      </w:r>
      <w:r>
        <w:rPr>
          <w:sz w:val="28"/>
          <w:szCs w:val="28"/>
          <w:vertAlign w:val="subscript"/>
        </w:rPr>
        <w:t>0</w:t>
      </w:r>
      <w:r>
        <w:rPr>
          <w:sz w:val="28"/>
          <w:szCs w:val="28"/>
        </w:rPr>
        <w:t>=1 і рівняння спрощується:</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4010" w:dyaOrig="880">
                <v:shape id="_x0000_i1035" type="#_x0000_t75" style="width:200.25pt;height:44.25pt" o:ole="">
                  <v:imagedata r:id="rId38" o:title=""/>
                </v:shape>
                <o:OLEObject Type="Embed" ProgID="Equation.3" ShapeID="_x0000_i1035" DrawAspect="Content" ObjectID="_1755443620" r:id="rId39"/>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(9)</w:t>
            </w:r>
          </w:p>
        </w:tc>
      </w:tr>
    </w:tbl>
    <w:p w:rsidR="00083E3E" w:rsidRDefault="00083E3E" w:rsidP="00083E3E">
      <w:pPr>
        <w:spacing w:line="360" w:lineRule="auto"/>
        <w:ind w:firstLine="720"/>
        <w:jc w:val="both"/>
        <w:rPr>
          <w:sz w:val="28"/>
          <w:szCs w:val="28"/>
        </w:rPr>
      </w:pPr>
      <w:r>
        <w:rPr>
          <w:sz w:val="28"/>
          <w:szCs w:val="28"/>
        </w:rPr>
        <w:t>Застосувавши процедуру логарифмування, представимо вираз (9) в алгебраїчній формі:</w:t>
      </w:r>
    </w:p>
    <w:tbl>
      <w:tblPr>
        <w:tblW w:w="9570" w:type="dxa"/>
        <w:tblInd w:w="-115" w:type="dxa"/>
        <w:tblLayout w:type="fixed"/>
        <w:tblLook w:val="0000" w:firstRow="0" w:lastRow="0" w:firstColumn="0" w:lastColumn="0" w:noHBand="0" w:noVBand="0"/>
      </w:tblPr>
      <w:tblGrid>
        <w:gridCol w:w="8326"/>
        <w:gridCol w:w="1244"/>
      </w:tblGrid>
      <w:tr w:rsidR="00083E3E" w:rsidTr="009A5944">
        <w:tc>
          <w:tcPr>
            <w:tcW w:w="8326" w:type="dxa"/>
          </w:tcPr>
          <w:p w:rsidR="00083E3E" w:rsidRDefault="00083E3E" w:rsidP="009A5944">
            <w:pPr>
              <w:widowControl w:val="0"/>
              <w:spacing w:line="360" w:lineRule="auto"/>
              <w:ind w:firstLine="709"/>
              <w:jc w:val="both"/>
              <w:rPr>
                <w:sz w:val="28"/>
                <w:szCs w:val="28"/>
              </w:rPr>
            </w:pPr>
            <w:r>
              <w:rPr>
                <w:sz w:val="28"/>
                <w:szCs w:val="28"/>
                <w:vertAlign w:val="subscript"/>
              </w:rPr>
              <w:object w:dxaOrig="2900" w:dyaOrig="500">
                <v:shape id="_x0000_i1036" type="#_x0000_t75" style="width:144.75pt;height:24.75pt" o:ole="">
                  <v:imagedata r:id="rId40" o:title=""/>
                </v:shape>
                <o:OLEObject Type="Embed" ProgID="Equation.3" ShapeID="_x0000_i1036" DrawAspect="Content" ObjectID="_1755443621" r:id="rId41"/>
              </w:object>
            </w:r>
            <w:r>
              <w:rPr>
                <w:sz w:val="28"/>
                <w:szCs w:val="28"/>
              </w:rPr>
              <w:t>.</w:t>
            </w:r>
          </w:p>
        </w:tc>
        <w:tc>
          <w:tcPr>
            <w:tcW w:w="1244" w:type="dxa"/>
            <w:vAlign w:val="center"/>
          </w:tcPr>
          <w:p w:rsidR="00083E3E" w:rsidRDefault="00083E3E" w:rsidP="009A5944">
            <w:pPr>
              <w:widowControl w:val="0"/>
              <w:spacing w:line="360" w:lineRule="auto"/>
              <w:jc w:val="both"/>
              <w:rPr>
                <w:sz w:val="28"/>
                <w:szCs w:val="28"/>
              </w:rPr>
            </w:pPr>
            <w:r>
              <w:rPr>
                <w:sz w:val="28"/>
                <w:szCs w:val="28"/>
              </w:rPr>
              <w:t>(10)</w:t>
            </w:r>
          </w:p>
        </w:tc>
      </w:tr>
    </w:tbl>
    <w:p w:rsidR="00083E3E" w:rsidRDefault="00083E3E" w:rsidP="00083E3E">
      <w:pPr>
        <w:spacing w:line="360" w:lineRule="auto"/>
        <w:ind w:firstLine="720"/>
        <w:jc w:val="both"/>
        <w:rPr>
          <w:sz w:val="28"/>
          <w:szCs w:val="28"/>
        </w:rPr>
      </w:pPr>
      <w:r>
        <w:rPr>
          <w:sz w:val="28"/>
          <w:szCs w:val="28"/>
        </w:rPr>
        <w:t xml:space="preserve">В цьому випадку, фазова компонента </w:t>
      </w:r>
      <w:r>
        <w:rPr>
          <w:i/>
          <w:sz w:val="28"/>
          <w:szCs w:val="28"/>
        </w:rPr>
        <w:t>θ</w:t>
      </w:r>
      <w:r>
        <w:rPr>
          <w:sz w:val="28"/>
          <w:szCs w:val="28"/>
        </w:rPr>
        <w:t xml:space="preserve"> може бути обрахована за допомогою перетворення Крамерса-Кроніга [17]:</w:t>
      </w:r>
    </w:p>
    <w:tbl>
      <w:tblPr>
        <w:tblW w:w="9570" w:type="dxa"/>
        <w:tblInd w:w="-115" w:type="dxa"/>
        <w:tblLayout w:type="fixed"/>
        <w:tblLook w:val="0000" w:firstRow="0" w:lastRow="0" w:firstColumn="0" w:lastColumn="0" w:noHBand="0" w:noVBand="0"/>
      </w:tblPr>
      <w:tblGrid>
        <w:gridCol w:w="8315"/>
        <w:gridCol w:w="1255"/>
      </w:tblGrid>
      <w:tr w:rsidR="00083E3E" w:rsidTr="009A5944">
        <w:tc>
          <w:tcPr>
            <w:tcW w:w="8315" w:type="dxa"/>
          </w:tcPr>
          <w:p w:rsidR="00083E3E" w:rsidRDefault="00083E3E" w:rsidP="009A5944">
            <w:pPr>
              <w:widowControl w:val="0"/>
              <w:spacing w:line="360" w:lineRule="auto"/>
              <w:ind w:firstLine="709"/>
              <w:jc w:val="both"/>
              <w:rPr>
                <w:sz w:val="28"/>
                <w:szCs w:val="28"/>
              </w:rPr>
            </w:pPr>
            <w:r>
              <w:rPr>
                <w:sz w:val="28"/>
                <w:szCs w:val="28"/>
                <w:vertAlign w:val="subscript"/>
              </w:rPr>
              <w:object w:dxaOrig="4300" w:dyaOrig="980">
                <v:shape id="_x0000_i1037" type="#_x0000_t75" style="width:215.25pt;height:48.75pt" o:ole="">
                  <v:imagedata r:id="rId42" o:title=""/>
                </v:shape>
                <o:OLEObject Type="Embed" ProgID="Equation.3" ShapeID="_x0000_i1037" DrawAspect="Content" ObjectID="_1755443622" r:id="rId43"/>
              </w:object>
            </w:r>
          </w:p>
        </w:tc>
        <w:tc>
          <w:tcPr>
            <w:tcW w:w="1255" w:type="dxa"/>
            <w:vAlign w:val="center"/>
          </w:tcPr>
          <w:p w:rsidR="00083E3E" w:rsidRDefault="00083E3E" w:rsidP="009A5944">
            <w:pPr>
              <w:widowControl w:val="0"/>
              <w:spacing w:line="360" w:lineRule="auto"/>
              <w:jc w:val="both"/>
              <w:rPr>
                <w:sz w:val="28"/>
                <w:szCs w:val="28"/>
              </w:rPr>
            </w:pPr>
            <w:r>
              <w:rPr>
                <w:sz w:val="28"/>
                <w:szCs w:val="28"/>
              </w:rPr>
              <w:t>(11)</w:t>
            </w:r>
          </w:p>
        </w:tc>
      </w:tr>
    </w:tbl>
    <w:p w:rsidR="00083E3E" w:rsidRDefault="00083E3E" w:rsidP="00083E3E">
      <w:pPr>
        <w:spacing w:line="360" w:lineRule="auto"/>
        <w:jc w:val="both"/>
        <w:rPr>
          <w:sz w:val="28"/>
          <w:szCs w:val="28"/>
        </w:rPr>
      </w:pPr>
    </w:p>
    <w:p w:rsidR="00083E3E" w:rsidRDefault="00083E3E" w:rsidP="00083E3E">
      <w:pPr>
        <w:spacing w:line="360" w:lineRule="auto"/>
        <w:ind w:firstLine="720"/>
        <w:jc w:val="both"/>
        <w:rPr>
          <w:sz w:val="28"/>
          <w:szCs w:val="28"/>
        </w:rPr>
      </w:pPr>
      <w:r>
        <w:rPr>
          <w:sz w:val="28"/>
          <w:szCs w:val="28"/>
        </w:rPr>
        <w:t>Для розрахунку фази використовувався наступний алгоритм чисельного інтегрування методом Трапецій, схема якого зображена на рисунку 9. Реалізація чисельного методу інтегрування проводилася в середовищі MathCad15. На рисунку 2.3.1 наведено оригінал алгоритму.</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638"/>
      </w:tblGrid>
      <w:tr w:rsidR="00083E3E" w:rsidTr="00E71A7B">
        <w:tc>
          <w:tcPr>
            <w:tcW w:w="9638" w:type="dxa"/>
            <w:shd w:val="clear" w:color="auto" w:fill="auto"/>
            <w:tcMar>
              <w:top w:w="100" w:type="dxa"/>
              <w:left w:w="100" w:type="dxa"/>
              <w:bottom w:w="100" w:type="dxa"/>
              <w:right w:w="100" w:type="dxa"/>
            </w:tcMar>
          </w:tcPr>
          <w:p w:rsidR="00083E3E" w:rsidRDefault="00083E3E" w:rsidP="009A5944">
            <w:pPr>
              <w:spacing w:line="360" w:lineRule="auto"/>
              <w:jc w:val="both"/>
              <w:rPr>
                <w:sz w:val="28"/>
                <w:szCs w:val="28"/>
              </w:rPr>
            </w:pPr>
            <w:r>
              <w:rPr>
                <w:noProof/>
                <w:sz w:val="28"/>
                <w:szCs w:val="28"/>
                <w:vertAlign w:val="subscript"/>
                <w:lang w:val="en-US"/>
              </w:rPr>
              <w:drawing>
                <wp:inline distT="0" distB="0" distL="0" distR="0" wp14:anchorId="57D971C1" wp14:editId="4BEDEB4E">
                  <wp:extent cx="5839778" cy="4011673"/>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839778" cy="4011673"/>
                          </a:xfrm>
                          <a:prstGeom prst="rect">
                            <a:avLst/>
                          </a:prstGeom>
                          <a:ln/>
                        </pic:spPr>
                      </pic:pic>
                    </a:graphicData>
                  </a:graphic>
                </wp:inline>
              </w:drawing>
            </w:r>
          </w:p>
        </w:tc>
      </w:tr>
      <w:tr w:rsidR="00083E3E" w:rsidTr="00E71A7B">
        <w:tc>
          <w:tcPr>
            <w:tcW w:w="9638" w:type="dxa"/>
            <w:shd w:val="clear" w:color="auto" w:fill="auto"/>
            <w:tcMar>
              <w:top w:w="100" w:type="dxa"/>
              <w:left w:w="100" w:type="dxa"/>
              <w:bottom w:w="100" w:type="dxa"/>
              <w:right w:w="100" w:type="dxa"/>
            </w:tcMar>
          </w:tcPr>
          <w:p w:rsidR="00083E3E" w:rsidRDefault="00083E3E" w:rsidP="00E71A7B">
            <w:pPr>
              <w:widowControl w:val="0"/>
              <w:pBdr>
                <w:top w:val="nil"/>
                <w:left w:val="nil"/>
                <w:bottom w:val="nil"/>
                <w:right w:val="nil"/>
                <w:between w:val="nil"/>
              </w:pBdr>
              <w:spacing w:line="360" w:lineRule="auto"/>
              <w:rPr>
                <w:sz w:val="28"/>
                <w:szCs w:val="28"/>
              </w:rPr>
            </w:pPr>
            <w:r>
              <w:rPr>
                <w:sz w:val="28"/>
                <w:szCs w:val="28"/>
              </w:rPr>
              <w:t>Рисунок 2.3.1 — Схема розрахунку фази</w:t>
            </w:r>
          </w:p>
        </w:tc>
      </w:tr>
    </w:tbl>
    <w:p w:rsidR="00083E3E" w:rsidRDefault="00083E3E" w:rsidP="00083E3E">
      <w:pPr>
        <w:spacing w:line="360" w:lineRule="auto"/>
        <w:jc w:val="both"/>
        <w:rPr>
          <w:sz w:val="28"/>
          <w:szCs w:val="28"/>
        </w:rPr>
      </w:pPr>
    </w:p>
    <w:p w:rsidR="00083E3E" w:rsidRDefault="00083E3E" w:rsidP="00083E3E">
      <w:pPr>
        <w:spacing w:line="360" w:lineRule="auto"/>
        <w:ind w:firstLine="720"/>
        <w:jc w:val="both"/>
        <w:rPr>
          <w:sz w:val="28"/>
          <w:szCs w:val="28"/>
        </w:rPr>
      </w:pPr>
      <w:r>
        <w:rPr>
          <w:sz w:val="28"/>
          <w:szCs w:val="28"/>
        </w:rPr>
        <w:t>Після чисельного інтегрування з кроком 1 меВ, комплексний показник заломлення та його компоненти можуть бути порахованими з наступної формули:</w:t>
      </w:r>
    </w:p>
    <w:tbl>
      <w:tblPr>
        <w:tblW w:w="9570" w:type="dxa"/>
        <w:tblInd w:w="-115" w:type="dxa"/>
        <w:tblLayout w:type="fixed"/>
        <w:tblLook w:val="0000" w:firstRow="0" w:lastRow="0" w:firstColumn="0" w:lastColumn="0" w:noHBand="0" w:noVBand="0"/>
      </w:tblPr>
      <w:tblGrid>
        <w:gridCol w:w="8311"/>
        <w:gridCol w:w="1259"/>
      </w:tblGrid>
      <w:tr w:rsidR="00083E3E" w:rsidTr="009A5944">
        <w:tc>
          <w:tcPr>
            <w:tcW w:w="8311" w:type="dxa"/>
          </w:tcPr>
          <w:p w:rsidR="00083E3E" w:rsidRDefault="00083E3E" w:rsidP="009A5944">
            <w:pPr>
              <w:widowControl w:val="0"/>
              <w:spacing w:line="360" w:lineRule="auto"/>
              <w:ind w:firstLine="709"/>
              <w:jc w:val="both"/>
              <w:rPr>
                <w:sz w:val="28"/>
                <w:szCs w:val="28"/>
              </w:rPr>
            </w:pPr>
            <w:r>
              <w:rPr>
                <w:sz w:val="28"/>
                <w:szCs w:val="28"/>
                <w:vertAlign w:val="subscript"/>
              </w:rPr>
              <w:object w:dxaOrig="3010" w:dyaOrig="960">
                <v:shape id="_x0000_i1038" type="#_x0000_t75" style="width:150.75pt;height:48pt" o:ole="">
                  <v:imagedata r:id="rId45" o:title=""/>
                </v:shape>
                <o:OLEObject Type="Embed" ProgID="Equation.3" ShapeID="_x0000_i1038" DrawAspect="Content" ObjectID="_1755443623" r:id="rId46"/>
              </w:object>
            </w:r>
            <w:r>
              <w:rPr>
                <w:sz w:val="28"/>
                <w:szCs w:val="28"/>
              </w:rPr>
              <w:t>,</w:t>
            </w:r>
          </w:p>
        </w:tc>
        <w:tc>
          <w:tcPr>
            <w:tcW w:w="1259" w:type="dxa"/>
            <w:vAlign w:val="center"/>
          </w:tcPr>
          <w:p w:rsidR="00083E3E" w:rsidRDefault="00083E3E" w:rsidP="009A5944">
            <w:pPr>
              <w:widowControl w:val="0"/>
              <w:spacing w:line="360" w:lineRule="auto"/>
              <w:jc w:val="both"/>
              <w:rPr>
                <w:sz w:val="28"/>
                <w:szCs w:val="28"/>
              </w:rPr>
            </w:pPr>
            <w:r>
              <w:rPr>
                <w:sz w:val="28"/>
                <w:szCs w:val="28"/>
              </w:rPr>
              <w:t>(12)</w:t>
            </w:r>
          </w:p>
        </w:tc>
      </w:tr>
    </w:tbl>
    <w:p w:rsidR="00083E3E" w:rsidRDefault="00083E3E" w:rsidP="00083E3E">
      <w:pPr>
        <w:pBdr>
          <w:top w:val="nil"/>
          <w:left w:val="nil"/>
          <w:bottom w:val="nil"/>
          <w:right w:val="nil"/>
          <w:between w:val="nil"/>
        </w:pBdr>
        <w:spacing w:after="100" w:line="360" w:lineRule="auto"/>
        <w:jc w:val="both"/>
        <w:rPr>
          <w:color w:val="000000"/>
          <w:sz w:val="28"/>
          <w:szCs w:val="28"/>
        </w:rPr>
      </w:pPr>
    </w:p>
    <w:p w:rsidR="00083E3E" w:rsidRDefault="00083E3E" w:rsidP="00083E3E">
      <w:pPr>
        <w:pBdr>
          <w:top w:val="nil"/>
          <w:left w:val="nil"/>
          <w:bottom w:val="nil"/>
          <w:right w:val="nil"/>
          <w:between w:val="nil"/>
        </w:pBdr>
        <w:spacing w:after="100" w:line="360" w:lineRule="auto"/>
        <w:ind w:firstLine="720"/>
        <w:jc w:val="both"/>
        <w:rPr>
          <w:sz w:val="28"/>
          <w:szCs w:val="28"/>
        </w:rPr>
      </w:pPr>
      <w:r>
        <w:rPr>
          <w:color w:val="000000"/>
          <w:sz w:val="28"/>
          <w:szCs w:val="28"/>
        </w:rPr>
        <w:lastRenderedPageBreak/>
        <w:t xml:space="preserve">Для розрахунку коефіцієнта екстинкції використовувався алгоритм чисельного інтегрування </w:t>
      </w:r>
      <w:r>
        <w:rPr>
          <w:sz w:val="28"/>
          <w:szCs w:val="28"/>
        </w:rPr>
        <w:t>методом Трапецій, схема якого зображена на рисунку 2.3.2.</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638"/>
      </w:tblGrid>
      <w:tr w:rsidR="00083E3E" w:rsidTr="00E71A7B">
        <w:tc>
          <w:tcPr>
            <w:tcW w:w="9638" w:type="dxa"/>
            <w:shd w:val="clear" w:color="auto" w:fill="auto"/>
            <w:tcMar>
              <w:top w:w="100" w:type="dxa"/>
              <w:left w:w="100" w:type="dxa"/>
              <w:bottom w:w="100" w:type="dxa"/>
              <w:right w:w="100" w:type="dxa"/>
            </w:tcMar>
          </w:tcPr>
          <w:p w:rsidR="00083E3E" w:rsidRDefault="00083E3E" w:rsidP="009A5944">
            <w:pPr>
              <w:spacing w:line="360" w:lineRule="auto"/>
              <w:jc w:val="both"/>
              <w:rPr>
                <w:sz w:val="28"/>
                <w:szCs w:val="28"/>
              </w:rPr>
            </w:pPr>
            <w:r>
              <w:rPr>
                <w:noProof/>
                <w:sz w:val="28"/>
                <w:szCs w:val="28"/>
                <w:vertAlign w:val="subscript"/>
                <w:lang w:val="en-US"/>
              </w:rPr>
              <w:drawing>
                <wp:inline distT="0" distB="0" distL="0" distR="0" wp14:anchorId="10D79DA4" wp14:editId="3AC7529A">
                  <wp:extent cx="5919908" cy="4266247"/>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919908" cy="4266247"/>
                          </a:xfrm>
                          <a:prstGeom prst="rect">
                            <a:avLst/>
                          </a:prstGeom>
                          <a:ln/>
                        </pic:spPr>
                      </pic:pic>
                    </a:graphicData>
                  </a:graphic>
                </wp:inline>
              </w:drawing>
            </w:r>
          </w:p>
        </w:tc>
      </w:tr>
      <w:tr w:rsidR="00083E3E" w:rsidTr="00E71A7B">
        <w:tc>
          <w:tcPr>
            <w:tcW w:w="9638" w:type="dxa"/>
            <w:shd w:val="clear" w:color="auto" w:fill="auto"/>
            <w:tcMar>
              <w:top w:w="100" w:type="dxa"/>
              <w:left w:w="100" w:type="dxa"/>
              <w:bottom w:w="100" w:type="dxa"/>
              <w:right w:w="100" w:type="dxa"/>
            </w:tcMar>
          </w:tcPr>
          <w:p w:rsidR="00083E3E" w:rsidRDefault="00083E3E" w:rsidP="00E71A7B">
            <w:pPr>
              <w:widowControl w:val="0"/>
              <w:pBdr>
                <w:top w:val="nil"/>
                <w:left w:val="nil"/>
                <w:bottom w:val="nil"/>
                <w:right w:val="nil"/>
                <w:between w:val="nil"/>
              </w:pBdr>
              <w:spacing w:line="360" w:lineRule="auto"/>
              <w:rPr>
                <w:sz w:val="28"/>
                <w:szCs w:val="28"/>
              </w:rPr>
            </w:pPr>
            <w:bookmarkStart w:id="0" w:name="_GoBack"/>
            <w:bookmarkEnd w:id="0"/>
            <w:r>
              <w:rPr>
                <w:sz w:val="28"/>
                <w:szCs w:val="28"/>
              </w:rPr>
              <w:t>Рисунок 2.3.2 — Схема розрахунку коефіцієнта екстинкції</w:t>
            </w:r>
          </w:p>
        </w:tc>
      </w:tr>
    </w:tbl>
    <w:p w:rsidR="00083E3E" w:rsidRDefault="00083E3E" w:rsidP="00083E3E">
      <w:pPr>
        <w:pBdr>
          <w:top w:val="nil"/>
          <w:left w:val="nil"/>
          <w:bottom w:val="nil"/>
          <w:right w:val="nil"/>
          <w:between w:val="nil"/>
        </w:pBdr>
        <w:spacing w:after="240"/>
        <w:jc w:val="both"/>
        <w:rPr>
          <w:color w:val="000000"/>
          <w:sz w:val="28"/>
          <w:szCs w:val="28"/>
        </w:rPr>
      </w:pPr>
    </w:p>
    <w:p w:rsidR="00083E3E" w:rsidRDefault="00083E3E" w:rsidP="00083E3E">
      <w:pPr>
        <w:pBdr>
          <w:top w:val="nil"/>
          <w:left w:val="nil"/>
          <w:bottom w:val="nil"/>
          <w:right w:val="nil"/>
          <w:between w:val="nil"/>
        </w:pBdr>
        <w:spacing w:after="100" w:line="360" w:lineRule="auto"/>
        <w:jc w:val="both"/>
        <w:rPr>
          <w:sz w:val="28"/>
          <w:szCs w:val="28"/>
        </w:rPr>
      </w:pPr>
      <w:r>
        <w:rPr>
          <w:sz w:val="28"/>
          <w:szCs w:val="28"/>
        </w:rPr>
        <w:t>Аналіз результатів</w:t>
      </w:r>
    </w:p>
    <w:p w:rsidR="00083E3E" w:rsidRDefault="00083E3E" w:rsidP="00083E3E">
      <w:pPr>
        <w:spacing w:after="100" w:line="360" w:lineRule="auto"/>
        <w:ind w:firstLine="720"/>
        <w:jc w:val="both"/>
        <w:rPr>
          <w:sz w:val="28"/>
          <w:szCs w:val="28"/>
        </w:rPr>
      </w:pPr>
      <w:r>
        <w:rPr>
          <w:sz w:val="28"/>
          <w:szCs w:val="28"/>
        </w:rPr>
        <w:t xml:space="preserve">Для тестування, налаштування, калібрування та проведення випробування пристрою були задіяні наступні прилади: Specord 210, ДМР-4, Спектрометричний Гоніометр Г5М. Двопроменевий спектрофотометр Specord 210 використовувався в конфігурації вимірювання спектрів відбивання (дифузне відбивання з інтегральною сферою). Однопроменевий монохроматор ДМР-4 використовувався для точного визначення спектральних складових джерел освітлення та спектральних чутливостей модулів APDS. Гоніометр використовувався як високоточний координатний поворотний столик для </w:t>
      </w:r>
      <w:r>
        <w:rPr>
          <w:sz w:val="28"/>
          <w:szCs w:val="28"/>
        </w:rPr>
        <w:lastRenderedPageBreak/>
        <w:t>встановлення модулів APDS при певних кутах (для вимірювання кутів Брюстера).</w:t>
      </w:r>
    </w:p>
    <w:p w:rsidR="00083E3E" w:rsidRDefault="00083E3E" w:rsidP="00083E3E">
      <w:pPr>
        <w:spacing w:after="100" w:line="360" w:lineRule="auto"/>
        <w:ind w:firstLine="720"/>
        <w:jc w:val="both"/>
        <w:rPr>
          <w:sz w:val="28"/>
          <w:szCs w:val="28"/>
        </w:rPr>
      </w:pPr>
      <w:r>
        <w:rPr>
          <w:sz w:val="28"/>
          <w:szCs w:val="28"/>
        </w:rPr>
        <w:t xml:space="preserve">Математична обробка отриманих сигналів та відпрацювання алгоритмів здійснювалося в програмному середовищі Mathcad 11-15. Символьне обчислення здійснювалося в версії 11 так як в ньому вбудоване символьне ядро програмного продукту Maple. Версія програми 15 дозволяє здійснювати автоматичне обчислення результатів вимірювань та підтримує можливість звернення до скриптових інструкцій зовнішніх програм, таких як </w:t>
      </w:r>
      <w:r>
        <w:rPr>
          <w:sz w:val="28"/>
          <w:szCs w:val="28"/>
          <w:lang w:val="en-US"/>
        </w:rPr>
        <w:t>Python</w:t>
      </w:r>
      <w:r w:rsidRPr="009A5944">
        <w:rPr>
          <w:sz w:val="28"/>
          <w:szCs w:val="28"/>
        </w:rPr>
        <w:t xml:space="preserve">, </w:t>
      </w:r>
      <w:proofErr w:type="spellStart"/>
      <w:r>
        <w:rPr>
          <w:sz w:val="28"/>
          <w:szCs w:val="28"/>
          <w:lang w:val="en-US"/>
        </w:rPr>
        <w:t>cmd</w:t>
      </w:r>
      <w:proofErr w:type="spellEnd"/>
      <w:r w:rsidRPr="009A5944">
        <w:rPr>
          <w:sz w:val="28"/>
          <w:szCs w:val="28"/>
        </w:rPr>
        <w:t xml:space="preserve">, </w:t>
      </w:r>
      <w:r>
        <w:rPr>
          <w:sz w:val="28"/>
          <w:szCs w:val="28"/>
          <w:lang w:val="en-US"/>
        </w:rPr>
        <w:t>bat</w:t>
      </w:r>
      <w:r>
        <w:rPr>
          <w:sz w:val="28"/>
          <w:szCs w:val="28"/>
        </w:rPr>
        <w:t xml:space="preserve">. Блоки алгоритмів обчислень були спеціально реалізовані у вигляді чисельних методів (максимально не використовувалися вбудовані функції). Для обчислень систем рівнянь в середовищі Mathcad є набір вбудованих функцій, а саме: Find, Minner, lsolve. В нашій роботі були задіяні функції Find та Minner. Внутрішня механіка даних функцій базується на використанні чисельних градієнтних методів обчислення. Обидві функції однакові, однак Minner при розбіжності ітераційного процесу виводить наближене значення, а інша функція </w:t>
      </w:r>
      <w:r>
        <w:rPr>
          <w:sz w:val="28"/>
          <w:szCs w:val="28"/>
          <w:lang w:val="en-US"/>
        </w:rPr>
        <w:t>Find</w:t>
      </w:r>
      <w:r w:rsidRPr="009A5944">
        <w:rPr>
          <w:sz w:val="28"/>
          <w:szCs w:val="28"/>
        </w:rPr>
        <w:t xml:space="preserve"> </w:t>
      </w:r>
      <w:r>
        <w:rPr>
          <w:sz w:val="28"/>
          <w:szCs w:val="28"/>
        </w:rPr>
        <w:t>– помилку обчислення. Даний підхід дав змогу перенести алгоритми на мову програмування с++ і створити власний фреймворк. Розроблені методи були згруповані у вигляді класів для підключення як сторонні бібліотеки на боці Arduino Mega так і в Qt терміналі.</w:t>
      </w:r>
    </w:p>
    <w:p w:rsidR="00083E3E" w:rsidRDefault="00083E3E" w:rsidP="00083E3E">
      <w:pPr>
        <w:spacing w:after="100" w:line="360" w:lineRule="auto"/>
        <w:ind w:firstLine="720"/>
        <w:jc w:val="both"/>
        <w:rPr>
          <w:sz w:val="28"/>
          <w:szCs w:val="28"/>
        </w:rPr>
      </w:pPr>
      <w:r>
        <w:rPr>
          <w:sz w:val="28"/>
          <w:szCs w:val="28"/>
        </w:rPr>
        <w:t>Для тестування запропонованої установки були задіяні зразки у вигляді плоских пластин розміром 1см х 1см з нанесеними плівками Cu</w:t>
      </w:r>
      <w:r w:rsidRPr="009A5944">
        <w:rPr>
          <w:sz w:val="28"/>
          <w:szCs w:val="28"/>
          <w:vertAlign w:val="subscript"/>
        </w:rPr>
        <w:t>2</w:t>
      </w:r>
      <w:r>
        <w:rPr>
          <w:sz w:val="28"/>
          <w:szCs w:val="28"/>
        </w:rPr>
        <w:t>ZnSnS</w:t>
      </w:r>
      <w:r w:rsidRPr="009A5944">
        <w:rPr>
          <w:sz w:val="28"/>
          <w:szCs w:val="28"/>
          <w:vertAlign w:val="subscript"/>
        </w:rPr>
        <w:t>4</w:t>
      </w:r>
      <w:r>
        <w:rPr>
          <w:sz w:val="28"/>
          <w:szCs w:val="28"/>
        </w:rPr>
        <w:t>. Дані зразки були надані авторами роботи [17] і попередньо були ретельно досліджені.</w:t>
      </w:r>
    </w:p>
    <w:p w:rsidR="00083E3E" w:rsidRDefault="00083E3E" w:rsidP="00083E3E">
      <w:pPr>
        <w:spacing w:after="100" w:line="360" w:lineRule="auto"/>
        <w:ind w:firstLine="720"/>
        <w:jc w:val="both"/>
        <w:rPr>
          <w:sz w:val="28"/>
          <w:szCs w:val="28"/>
        </w:rPr>
      </w:pPr>
      <w:r>
        <w:rPr>
          <w:sz w:val="28"/>
          <w:szCs w:val="28"/>
        </w:rPr>
        <w:t>Дослідження проводилося у відповідності до методики представленої на рисунку 4.1.1. Отримані результати передавалися терміналу і вводилися вручну в розрахункову площину програми Mathcad 15. Кроки обчислень наведені на рисунках нижче.</w:t>
      </w:r>
    </w:p>
    <w:p w:rsidR="00083E3E" w:rsidRPr="00963DDC" w:rsidRDefault="00083E3E" w:rsidP="00083E3E">
      <w:pPr>
        <w:spacing w:after="100" w:line="360" w:lineRule="auto"/>
        <w:ind w:firstLine="720"/>
        <w:jc w:val="both"/>
        <w:rPr>
          <w:sz w:val="28"/>
          <w:szCs w:val="28"/>
        </w:rPr>
      </w:pPr>
      <w:r>
        <w:rPr>
          <w:sz w:val="28"/>
          <w:szCs w:val="28"/>
        </w:rPr>
        <w:t xml:space="preserve">На рисунку 4.1.5 наведені результати вимірювань кутів Брюстера від різних джерел світла. Кути вимірювалися на Гоніометрі Г5М, довжина хвилі </w:t>
      </w:r>
      <w:r>
        <w:rPr>
          <w:sz w:val="28"/>
          <w:szCs w:val="28"/>
        </w:rPr>
        <w:lastRenderedPageBreak/>
        <w:t xml:space="preserve">виділялася монохроматором ДМР-4 від спектроскопічної лампи накалювання з увіолієвим склом. Результати інтенсивності світла фіксувала платформа Ардуіно і в терміналі через протокол </w:t>
      </w:r>
      <w:r>
        <w:rPr>
          <w:sz w:val="28"/>
          <w:szCs w:val="28"/>
          <w:lang w:val="en-US"/>
        </w:rPr>
        <w:t>UART</w:t>
      </w:r>
      <w:r>
        <w:rPr>
          <w:sz w:val="28"/>
          <w:szCs w:val="28"/>
        </w:rPr>
        <w:t xml:space="preserve"> обчислювалися значення.</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628"/>
      </w:tblGrid>
      <w:tr w:rsidR="00083E3E" w:rsidTr="00E71A7B">
        <w:tc>
          <w:tcPr>
            <w:tcW w:w="9628" w:type="dxa"/>
          </w:tcPr>
          <w:p w:rsidR="00083E3E" w:rsidRDefault="00083E3E" w:rsidP="009A5944">
            <w:pPr>
              <w:autoSpaceDE w:val="0"/>
              <w:autoSpaceDN w:val="0"/>
              <w:adjustRightInd w:val="0"/>
              <w:rPr>
                <w:sz w:val="28"/>
                <w:szCs w:val="28"/>
              </w:rPr>
            </w:pPr>
            <w:r w:rsidRPr="009A5944">
              <w:rPr>
                <w:rFonts w:ascii="Arial" w:hAnsi="Arial" w:cs="Arial"/>
                <w:noProof/>
                <w:position w:val="-73"/>
                <w:sz w:val="20"/>
                <w:szCs w:val="20"/>
                <w:lang w:val="en-US"/>
              </w:rPr>
              <w:drawing>
                <wp:inline distT="0" distB="0" distL="0" distR="0" wp14:anchorId="3BC43CC9" wp14:editId="725CBEDD">
                  <wp:extent cx="854710" cy="10007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4710" cy="1000760"/>
                          </a:xfrm>
                          <a:prstGeom prst="rect">
                            <a:avLst/>
                          </a:prstGeom>
                          <a:noFill/>
                          <a:ln>
                            <a:noFill/>
                          </a:ln>
                        </pic:spPr>
                      </pic:pic>
                    </a:graphicData>
                  </a:graphic>
                </wp:inline>
              </w:drawing>
            </w:r>
            <w:r w:rsidRPr="009A5944">
              <w:rPr>
                <w:rFonts w:ascii="Arial" w:hAnsi="Arial" w:cs="Arial"/>
                <w:noProof/>
                <w:position w:val="-73"/>
                <w:sz w:val="20"/>
                <w:szCs w:val="20"/>
                <w:lang w:val="en-US"/>
              </w:rPr>
              <w:drawing>
                <wp:inline distT="0" distB="0" distL="0" distR="0" wp14:anchorId="6B1307F0" wp14:editId="54247281">
                  <wp:extent cx="802005" cy="1000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02005" cy="1000760"/>
                          </a:xfrm>
                          <a:prstGeom prst="rect">
                            <a:avLst/>
                          </a:prstGeom>
                          <a:noFill/>
                          <a:ln>
                            <a:noFill/>
                          </a:ln>
                        </pic:spPr>
                      </pic:pic>
                    </a:graphicData>
                  </a:graphic>
                </wp:inline>
              </w:drawing>
            </w:r>
            <w:r w:rsidRPr="009A5944">
              <w:rPr>
                <w:rFonts w:ascii="Arial" w:hAnsi="Arial" w:cs="Arial"/>
                <w:noProof/>
                <w:position w:val="-73"/>
                <w:sz w:val="20"/>
                <w:szCs w:val="20"/>
                <w:lang w:val="en-US"/>
              </w:rPr>
              <w:drawing>
                <wp:inline distT="0" distB="0" distL="0" distR="0" wp14:anchorId="1549A37F" wp14:editId="4511F071">
                  <wp:extent cx="788670" cy="1000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8670" cy="1000760"/>
                          </a:xfrm>
                          <a:prstGeom prst="rect">
                            <a:avLst/>
                          </a:prstGeom>
                          <a:noFill/>
                          <a:ln>
                            <a:noFill/>
                          </a:ln>
                        </pic:spPr>
                      </pic:pic>
                    </a:graphicData>
                  </a:graphic>
                </wp:inline>
              </w:drawing>
            </w:r>
            <w:r w:rsidRPr="009A5944">
              <w:rPr>
                <w:rFonts w:ascii="Arial" w:hAnsi="Arial" w:cs="Arial"/>
                <w:noProof/>
                <w:position w:val="-73"/>
                <w:sz w:val="20"/>
                <w:szCs w:val="20"/>
                <w:lang w:val="en-US"/>
              </w:rPr>
              <w:drawing>
                <wp:inline distT="0" distB="0" distL="0" distR="0" wp14:anchorId="5C41E675" wp14:editId="6732F450">
                  <wp:extent cx="802005" cy="1000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2005" cy="1000760"/>
                          </a:xfrm>
                          <a:prstGeom prst="rect">
                            <a:avLst/>
                          </a:prstGeom>
                          <a:noFill/>
                          <a:ln>
                            <a:noFill/>
                          </a:ln>
                        </pic:spPr>
                      </pic:pic>
                    </a:graphicData>
                  </a:graphic>
                </wp:inline>
              </w:drawing>
            </w:r>
            <w:r>
              <w:rPr>
                <w:rFonts w:ascii="Arial" w:hAnsi="Arial" w:cs="Arial"/>
                <w:noProof/>
                <w:position w:val="-24"/>
                <w:sz w:val="20"/>
                <w:szCs w:val="20"/>
                <w:lang w:val="en-US"/>
              </w:rPr>
              <w:t xml:space="preserve"> </w:t>
            </w:r>
            <w:r w:rsidRPr="009A5944">
              <w:rPr>
                <w:rFonts w:ascii="Arial" w:hAnsi="Arial" w:cs="Arial"/>
                <w:noProof/>
                <w:position w:val="-24"/>
                <w:sz w:val="20"/>
                <w:szCs w:val="20"/>
                <w:lang w:val="en-US"/>
              </w:rPr>
              <w:drawing>
                <wp:inline distT="0" distB="0" distL="0" distR="0" wp14:anchorId="28D38ACA" wp14:editId="5680262C">
                  <wp:extent cx="695960" cy="264795"/>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5960" cy="264795"/>
                          </a:xfrm>
                          <a:prstGeom prst="rect">
                            <a:avLst/>
                          </a:prstGeom>
                          <a:noFill/>
                          <a:ln>
                            <a:noFill/>
                          </a:ln>
                        </pic:spPr>
                      </pic:pic>
                    </a:graphicData>
                  </a:graphic>
                </wp:inline>
              </w:drawing>
            </w:r>
          </w:p>
        </w:tc>
      </w:tr>
      <w:tr w:rsidR="00083E3E" w:rsidTr="00E71A7B">
        <w:tc>
          <w:tcPr>
            <w:tcW w:w="9628" w:type="dxa"/>
          </w:tcPr>
          <w:p w:rsidR="00083E3E" w:rsidRDefault="00083E3E" w:rsidP="009A5944">
            <w:pPr>
              <w:spacing w:after="100" w:line="360" w:lineRule="auto"/>
              <w:jc w:val="both"/>
              <w:rPr>
                <w:sz w:val="28"/>
                <w:szCs w:val="28"/>
              </w:rPr>
            </w:pPr>
            <w:r>
              <w:rPr>
                <w:sz w:val="28"/>
                <w:szCs w:val="28"/>
              </w:rPr>
              <w:t>Рисунок 4.1.5 — Результати вимірювань кутів Брюстера для різних довжин хвиль</w:t>
            </w:r>
          </w:p>
        </w:tc>
      </w:tr>
    </w:tbl>
    <w:p w:rsidR="00083E3E" w:rsidRDefault="00083E3E" w:rsidP="00083E3E">
      <w:pPr>
        <w:spacing w:after="100" w:line="360" w:lineRule="auto"/>
        <w:ind w:firstLine="720"/>
        <w:jc w:val="both"/>
        <w:rPr>
          <w:sz w:val="28"/>
          <w:szCs w:val="28"/>
        </w:rPr>
      </w:pPr>
    </w:p>
    <w:p w:rsidR="00083E3E" w:rsidRPr="00963DDC" w:rsidRDefault="00083E3E" w:rsidP="00083E3E">
      <w:pPr>
        <w:spacing w:after="100" w:line="360" w:lineRule="auto"/>
        <w:ind w:firstLine="720"/>
        <w:jc w:val="both"/>
        <w:rPr>
          <w:sz w:val="28"/>
          <w:szCs w:val="28"/>
        </w:rPr>
      </w:pPr>
      <w:r>
        <w:rPr>
          <w:sz w:val="28"/>
          <w:szCs w:val="28"/>
        </w:rPr>
        <w:t xml:space="preserve">На рисунку 4.1.6 представлений оригінальний алгоритм обрахунку системи рівнянь, які складаються з формул Зельмеера. Так як ітераційний процес сходиться то використовували вбудовану функцію </w:t>
      </w:r>
      <w:r>
        <w:rPr>
          <w:sz w:val="28"/>
          <w:szCs w:val="28"/>
          <w:lang w:val="en-US"/>
        </w:rPr>
        <w:t>Find</w:t>
      </w:r>
      <w:r>
        <w:rPr>
          <w:sz w:val="28"/>
          <w:szCs w:val="28"/>
        </w:rPr>
        <w:t xml:space="preserve"> (в іншому випадку будуть братися наближені корені рівнянь). Програмна реалізація функції, як було сказано вище організована на градієнтних алгоритмах чисельними методами.</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628"/>
      </w:tblGrid>
      <w:tr w:rsidR="00083E3E" w:rsidTr="00E71A7B">
        <w:tc>
          <w:tcPr>
            <w:tcW w:w="9628" w:type="dxa"/>
          </w:tcPr>
          <w:p w:rsidR="00083E3E" w:rsidRDefault="00083E3E" w:rsidP="009A5944">
            <w:pPr>
              <w:spacing w:after="100" w:line="360" w:lineRule="auto"/>
              <w:jc w:val="center"/>
              <w:rPr>
                <w:sz w:val="28"/>
                <w:szCs w:val="28"/>
              </w:rPr>
            </w:pPr>
            <w:r>
              <w:object w:dxaOrig="4905" w:dyaOrig="9330">
                <v:shape id="_x0000_i1039" type="#_x0000_t75" style="width:245.25pt;height:466.5pt" o:ole="">
                  <v:imagedata r:id="rId53" o:title=""/>
                </v:shape>
                <o:OLEObject Type="Embed" ProgID="PBrush" ShapeID="_x0000_i1039" DrawAspect="Content" ObjectID="_1755443624" r:id="rId54"/>
              </w:object>
            </w:r>
          </w:p>
        </w:tc>
      </w:tr>
      <w:tr w:rsidR="00083E3E" w:rsidTr="00E71A7B">
        <w:tc>
          <w:tcPr>
            <w:tcW w:w="9628" w:type="dxa"/>
          </w:tcPr>
          <w:p w:rsidR="00083E3E" w:rsidRDefault="00083E3E" w:rsidP="009A5944">
            <w:pPr>
              <w:spacing w:after="100" w:line="360" w:lineRule="auto"/>
              <w:jc w:val="both"/>
              <w:rPr>
                <w:sz w:val="28"/>
                <w:szCs w:val="28"/>
              </w:rPr>
            </w:pPr>
            <w:r>
              <w:rPr>
                <w:sz w:val="28"/>
                <w:szCs w:val="28"/>
              </w:rPr>
              <w:t>Рисунок 4.1.6 — Результати чисельного обчислення градієнтними методами рівнянь, які складаються з формул Зельмеера.</w:t>
            </w:r>
          </w:p>
        </w:tc>
      </w:tr>
    </w:tbl>
    <w:p w:rsidR="00083E3E" w:rsidRDefault="00083E3E" w:rsidP="00083E3E">
      <w:pPr>
        <w:spacing w:after="100" w:line="360" w:lineRule="auto"/>
        <w:ind w:firstLine="720"/>
        <w:jc w:val="both"/>
        <w:rPr>
          <w:sz w:val="28"/>
          <w:szCs w:val="28"/>
        </w:rPr>
      </w:pPr>
    </w:p>
    <w:p w:rsidR="00083E3E" w:rsidRPr="009A5944" w:rsidRDefault="00083E3E" w:rsidP="00083E3E">
      <w:pPr>
        <w:spacing w:after="100" w:line="360" w:lineRule="auto"/>
        <w:ind w:firstLine="720"/>
        <w:jc w:val="both"/>
        <w:rPr>
          <w:sz w:val="28"/>
          <w:szCs w:val="28"/>
          <w:lang w:val="ru-RU"/>
        </w:rPr>
      </w:pPr>
      <w:r>
        <w:rPr>
          <w:sz w:val="28"/>
          <w:szCs w:val="28"/>
        </w:rPr>
        <w:t>На рисунку 4.1.7 представлені функціональна залежність показника заломлення (</w:t>
      </w:r>
      <w:r>
        <w:rPr>
          <w:sz w:val="28"/>
          <w:szCs w:val="28"/>
          <w:lang w:val="en-US"/>
        </w:rPr>
        <w:t>refractive</w:t>
      </w:r>
      <w:r w:rsidRPr="009A5944">
        <w:rPr>
          <w:sz w:val="28"/>
          <w:szCs w:val="28"/>
          <w:lang w:val="ru-RU"/>
        </w:rPr>
        <w:t xml:space="preserve"> </w:t>
      </w:r>
      <w:r>
        <w:rPr>
          <w:sz w:val="28"/>
          <w:szCs w:val="28"/>
          <w:lang w:val="en-US"/>
        </w:rPr>
        <w:t>index</w:t>
      </w:r>
      <w:r>
        <w:rPr>
          <w:sz w:val="28"/>
          <w:szCs w:val="28"/>
        </w:rPr>
        <w:t>) від довжини хвилі, а також графічне зображення. Дисперсійна крива може бути використана в подальшому з певними обмеженнями. А саме, формула Зельмеера базується на принципі, що матеріал не поглинає світло і відсутні резонансні процеси.</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628"/>
      </w:tblGrid>
      <w:tr w:rsidR="00083E3E" w:rsidTr="00E71A7B">
        <w:tc>
          <w:tcPr>
            <w:tcW w:w="9628" w:type="dxa"/>
          </w:tcPr>
          <w:p w:rsidR="00083E3E" w:rsidRPr="00963DDC" w:rsidRDefault="00083E3E" w:rsidP="009A5944">
            <w:pPr>
              <w:autoSpaceDE w:val="0"/>
              <w:autoSpaceDN w:val="0"/>
              <w:adjustRightInd w:val="0"/>
              <w:rPr>
                <w:rFonts w:ascii="Arial" w:hAnsi="Arial" w:cs="Arial"/>
                <w:sz w:val="20"/>
                <w:szCs w:val="20"/>
                <w:lang w:val="en-US"/>
              </w:rPr>
            </w:pPr>
            <w:r w:rsidRPr="009A5944">
              <w:rPr>
                <w:rFonts w:ascii="Arial" w:hAnsi="Arial" w:cs="Arial"/>
                <w:noProof/>
                <w:position w:val="-7"/>
                <w:sz w:val="20"/>
                <w:szCs w:val="20"/>
                <w:lang w:val="en-US"/>
              </w:rPr>
              <w:lastRenderedPageBreak/>
              <w:drawing>
                <wp:inline distT="0" distB="0" distL="0" distR="0" wp14:anchorId="703F1C66" wp14:editId="40315D48">
                  <wp:extent cx="549910" cy="158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910" cy="158750"/>
                          </a:xfrm>
                          <a:prstGeom prst="rect">
                            <a:avLst/>
                          </a:prstGeom>
                          <a:noFill/>
                          <a:ln>
                            <a:noFill/>
                          </a:ln>
                        </pic:spPr>
                      </pic:pic>
                    </a:graphicData>
                  </a:graphic>
                </wp:inline>
              </w:drawing>
            </w:r>
            <w:r>
              <w:rPr>
                <w:rFonts w:ascii="Arial" w:hAnsi="Arial" w:cs="Arial"/>
                <w:sz w:val="20"/>
                <w:szCs w:val="20"/>
              </w:rPr>
              <w:t xml:space="preserve">; </w:t>
            </w:r>
            <w:r w:rsidRPr="009A5944">
              <w:rPr>
                <w:rFonts w:ascii="Arial" w:hAnsi="Arial" w:cs="Arial"/>
                <w:noProof/>
                <w:position w:val="-7"/>
                <w:sz w:val="20"/>
                <w:szCs w:val="20"/>
                <w:lang w:val="en-US"/>
              </w:rPr>
              <w:drawing>
                <wp:inline distT="0" distB="0" distL="0" distR="0" wp14:anchorId="40D4601C" wp14:editId="2E77DA8E">
                  <wp:extent cx="735330" cy="1587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5330" cy="158750"/>
                          </a:xfrm>
                          <a:prstGeom prst="rect">
                            <a:avLst/>
                          </a:prstGeom>
                          <a:noFill/>
                          <a:ln>
                            <a:noFill/>
                          </a:ln>
                        </pic:spPr>
                      </pic:pic>
                    </a:graphicData>
                  </a:graphic>
                </wp:inline>
              </w:drawing>
            </w:r>
            <w:r>
              <w:rPr>
                <w:rFonts w:ascii="Arial" w:hAnsi="Arial" w:cs="Arial"/>
                <w:sz w:val="20"/>
                <w:szCs w:val="20"/>
              </w:rPr>
              <w:t xml:space="preserve">; </w:t>
            </w:r>
            <w:r w:rsidRPr="009A5944">
              <w:rPr>
                <w:rFonts w:ascii="Arial" w:hAnsi="Arial" w:cs="Arial"/>
                <w:noProof/>
                <w:position w:val="-24"/>
                <w:sz w:val="20"/>
                <w:szCs w:val="20"/>
                <w:lang w:val="en-US"/>
              </w:rPr>
              <w:drawing>
                <wp:inline distT="0" distB="0" distL="0" distR="0" wp14:anchorId="47083EE5" wp14:editId="2261B1B5">
                  <wp:extent cx="1464310" cy="351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4310" cy="351155"/>
                          </a:xfrm>
                          <a:prstGeom prst="rect">
                            <a:avLst/>
                          </a:prstGeom>
                          <a:noFill/>
                          <a:ln>
                            <a:noFill/>
                          </a:ln>
                        </pic:spPr>
                      </pic:pic>
                    </a:graphicData>
                  </a:graphic>
                </wp:inline>
              </w:drawing>
            </w:r>
            <w:r>
              <w:rPr>
                <w:rFonts w:ascii="Arial" w:hAnsi="Arial" w:cs="Arial"/>
                <w:sz w:val="20"/>
                <w:szCs w:val="20"/>
              </w:rPr>
              <w:t xml:space="preserve">; </w:t>
            </w:r>
            <w:r w:rsidRPr="009A5944">
              <w:rPr>
                <w:rFonts w:ascii="Arial" w:hAnsi="Arial" w:cs="Arial"/>
                <w:noProof/>
                <w:position w:val="-46"/>
                <w:sz w:val="20"/>
                <w:szCs w:val="20"/>
                <w:lang w:val="en-US"/>
              </w:rPr>
              <w:drawing>
                <wp:inline distT="0" distB="0" distL="0" distR="0" wp14:anchorId="18EB306B" wp14:editId="11AD2D2D">
                  <wp:extent cx="1835150" cy="655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35150" cy="655955"/>
                          </a:xfrm>
                          <a:prstGeom prst="rect">
                            <a:avLst/>
                          </a:prstGeom>
                          <a:noFill/>
                          <a:ln>
                            <a:noFill/>
                          </a:ln>
                        </pic:spPr>
                      </pic:pic>
                    </a:graphicData>
                  </a:graphic>
                </wp:inline>
              </w:drawing>
            </w:r>
          </w:p>
          <w:p w:rsidR="00083E3E" w:rsidRPr="00963DDC" w:rsidRDefault="00083E3E" w:rsidP="009A5944">
            <w:pPr>
              <w:autoSpaceDE w:val="0"/>
              <w:autoSpaceDN w:val="0"/>
              <w:adjustRightInd w:val="0"/>
              <w:rPr>
                <w:rFonts w:ascii="Arial" w:hAnsi="Arial" w:cs="Arial"/>
                <w:sz w:val="20"/>
                <w:szCs w:val="20"/>
                <w:lang w:val="en-US"/>
              </w:rPr>
            </w:pPr>
            <w:r w:rsidRPr="009A5944">
              <w:rPr>
                <w:rFonts w:ascii="Arial" w:hAnsi="Arial" w:cs="Arial"/>
                <w:noProof/>
                <w:position w:val="-487"/>
                <w:sz w:val="20"/>
                <w:szCs w:val="20"/>
                <w:lang w:val="en-US"/>
              </w:rPr>
              <w:drawing>
                <wp:inline distT="0" distB="0" distL="0" distR="0" wp14:anchorId="3BAAC295" wp14:editId="20F7A08D">
                  <wp:extent cx="4963160" cy="3094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3160" cy="3094355"/>
                          </a:xfrm>
                          <a:prstGeom prst="rect">
                            <a:avLst/>
                          </a:prstGeom>
                          <a:noFill/>
                          <a:ln>
                            <a:noFill/>
                          </a:ln>
                        </pic:spPr>
                      </pic:pic>
                    </a:graphicData>
                  </a:graphic>
                </wp:inline>
              </w:drawing>
            </w:r>
          </w:p>
          <w:p w:rsidR="00083E3E" w:rsidRDefault="00083E3E" w:rsidP="009A5944">
            <w:pPr>
              <w:spacing w:after="100" w:line="360" w:lineRule="auto"/>
              <w:jc w:val="both"/>
              <w:rPr>
                <w:sz w:val="28"/>
                <w:szCs w:val="28"/>
              </w:rPr>
            </w:pPr>
          </w:p>
        </w:tc>
      </w:tr>
      <w:tr w:rsidR="00083E3E" w:rsidTr="00E71A7B">
        <w:tc>
          <w:tcPr>
            <w:tcW w:w="9628" w:type="dxa"/>
          </w:tcPr>
          <w:p w:rsidR="00083E3E" w:rsidRPr="009A5944" w:rsidRDefault="00083E3E" w:rsidP="009A5944">
            <w:pPr>
              <w:spacing w:after="100" w:line="360" w:lineRule="auto"/>
              <w:jc w:val="both"/>
              <w:rPr>
                <w:sz w:val="28"/>
                <w:szCs w:val="28"/>
                <w:lang w:val="ru-RU"/>
              </w:rPr>
            </w:pPr>
            <w:r>
              <w:rPr>
                <w:sz w:val="28"/>
                <w:szCs w:val="28"/>
              </w:rPr>
              <w:t xml:space="preserve">Рисунок 4.1.7 – Дисперсійна крива для </w:t>
            </w:r>
            <w:r>
              <w:rPr>
                <w:sz w:val="28"/>
                <w:szCs w:val="28"/>
                <w:lang w:val="en-US"/>
              </w:rPr>
              <w:t>Cu</w:t>
            </w:r>
            <w:r w:rsidRPr="009A5944">
              <w:rPr>
                <w:sz w:val="28"/>
                <w:szCs w:val="28"/>
                <w:lang w:val="ru-RU"/>
              </w:rPr>
              <w:t>2</w:t>
            </w:r>
            <w:proofErr w:type="spellStart"/>
            <w:r>
              <w:rPr>
                <w:sz w:val="28"/>
                <w:szCs w:val="28"/>
                <w:lang w:val="en-US"/>
              </w:rPr>
              <w:t>ZnSnS</w:t>
            </w:r>
            <w:proofErr w:type="spellEnd"/>
            <w:r w:rsidRPr="009A5944">
              <w:rPr>
                <w:sz w:val="28"/>
                <w:szCs w:val="28"/>
                <w:lang w:val="ru-RU"/>
              </w:rPr>
              <w:t>4</w:t>
            </w:r>
          </w:p>
        </w:tc>
      </w:tr>
    </w:tbl>
    <w:p w:rsidR="00083E3E" w:rsidRDefault="00083E3E" w:rsidP="00083E3E">
      <w:pPr>
        <w:spacing w:after="100" w:line="360" w:lineRule="auto"/>
        <w:ind w:firstLine="720"/>
        <w:jc w:val="both"/>
        <w:rPr>
          <w:sz w:val="28"/>
          <w:szCs w:val="28"/>
        </w:rPr>
      </w:pPr>
    </w:p>
    <w:p w:rsidR="00083E3E" w:rsidRDefault="00083E3E" w:rsidP="00083E3E">
      <w:pPr>
        <w:spacing w:after="100" w:line="360" w:lineRule="auto"/>
        <w:ind w:firstLine="720"/>
        <w:jc w:val="both"/>
        <w:rPr>
          <w:sz w:val="28"/>
          <w:szCs w:val="28"/>
        </w:rPr>
      </w:pPr>
      <w:r>
        <w:rPr>
          <w:sz w:val="28"/>
          <w:szCs w:val="28"/>
        </w:rPr>
        <w:t>На рисунку 4.1.8 наведені експериментальні значення, які були отримані по методиці Брюстера та дисперсійні математично обчислені криві. Крива коефіцієнта екстинкції (синього кольору) була обрахована за інтегралом Крамерса-Кроніга, алгоритм чисельного інтегрування детально описаний у розділі 2.</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628"/>
      </w:tblGrid>
      <w:tr w:rsidR="00083E3E" w:rsidTr="00E71A7B">
        <w:tc>
          <w:tcPr>
            <w:tcW w:w="9628" w:type="dxa"/>
          </w:tcPr>
          <w:p w:rsidR="00083E3E" w:rsidRDefault="00083E3E" w:rsidP="009A5944">
            <w:pPr>
              <w:spacing w:after="100" w:line="360" w:lineRule="auto"/>
              <w:jc w:val="both"/>
              <w:rPr>
                <w:sz w:val="28"/>
                <w:szCs w:val="28"/>
              </w:rPr>
            </w:pPr>
            <w:r>
              <w:object w:dxaOrig="8700" w:dyaOrig="4740">
                <v:shape id="_x0000_i1040" type="#_x0000_t75" style="width:435pt;height:237pt" o:ole="">
                  <v:imagedata r:id="rId60" o:title=""/>
                </v:shape>
                <o:OLEObject Type="Embed" ProgID="PBrush" ShapeID="_x0000_i1040" DrawAspect="Content" ObjectID="_1755443625" r:id="rId61"/>
              </w:object>
            </w:r>
          </w:p>
        </w:tc>
      </w:tr>
      <w:tr w:rsidR="00083E3E" w:rsidTr="00E71A7B">
        <w:tc>
          <w:tcPr>
            <w:tcW w:w="9628" w:type="dxa"/>
          </w:tcPr>
          <w:p w:rsidR="00083E3E" w:rsidRDefault="00083E3E" w:rsidP="009A5944">
            <w:pPr>
              <w:spacing w:after="100" w:line="360" w:lineRule="auto"/>
              <w:jc w:val="both"/>
              <w:rPr>
                <w:sz w:val="28"/>
                <w:szCs w:val="28"/>
              </w:rPr>
            </w:pPr>
            <w:r>
              <w:rPr>
                <w:sz w:val="28"/>
                <w:szCs w:val="28"/>
              </w:rPr>
              <w:t xml:space="preserve">Рисунок 4.1.8 – Дисперсійні криві, які були обчислені </w:t>
            </w:r>
            <w:r>
              <w:rPr>
                <w:sz w:val="28"/>
                <w:szCs w:val="28"/>
                <w:lang w:val="en-US"/>
              </w:rPr>
              <w:t>n</w:t>
            </w:r>
            <w:r w:rsidRPr="009A5944">
              <w:rPr>
                <w:sz w:val="28"/>
                <w:szCs w:val="28"/>
              </w:rPr>
              <w:t>(</w:t>
            </w:r>
            <w:r>
              <w:rPr>
                <w:sz w:val="28"/>
                <w:szCs w:val="28"/>
                <w:lang w:val="en-US"/>
              </w:rPr>
              <w:sym w:font="Symbol" w:char="F06C"/>
            </w:r>
            <w:r w:rsidRPr="009A5944">
              <w:rPr>
                <w:sz w:val="28"/>
                <w:szCs w:val="28"/>
              </w:rPr>
              <w:t xml:space="preserve">), </w:t>
            </w:r>
            <w:r>
              <w:rPr>
                <w:sz w:val="28"/>
                <w:szCs w:val="28"/>
                <w:lang w:val="en-US"/>
              </w:rPr>
              <w:t>k</w:t>
            </w:r>
            <w:r w:rsidRPr="009A5944">
              <w:rPr>
                <w:sz w:val="28"/>
                <w:szCs w:val="28"/>
              </w:rPr>
              <w:t>(</w:t>
            </w:r>
            <w:r>
              <w:rPr>
                <w:sz w:val="28"/>
                <w:szCs w:val="28"/>
                <w:lang w:val="en-US"/>
              </w:rPr>
              <w:sym w:font="Symbol" w:char="F06C"/>
            </w:r>
            <w:r w:rsidRPr="009A5944">
              <w:rPr>
                <w:sz w:val="28"/>
                <w:szCs w:val="28"/>
              </w:rPr>
              <w:t xml:space="preserve">) </w:t>
            </w:r>
            <w:r>
              <w:rPr>
                <w:sz w:val="28"/>
                <w:szCs w:val="28"/>
              </w:rPr>
              <w:t xml:space="preserve">та експериментальна </w:t>
            </w:r>
            <w:proofErr w:type="spellStart"/>
            <w:r>
              <w:rPr>
                <w:sz w:val="28"/>
                <w:szCs w:val="28"/>
                <w:lang w:val="en-US"/>
              </w:rPr>
              <w:t>n</w:t>
            </w:r>
            <w:r>
              <w:rPr>
                <w:sz w:val="28"/>
                <w:szCs w:val="28"/>
                <w:vertAlign w:val="subscript"/>
                <w:lang w:val="en-US"/>
              </w:rPr>
              <w:t>B</w:t>
            </w:r>
            <w:proofErr w:type="spellEnd"/>
            <w:r w:rsidRPr="009A5944">
              <w:rPr>
                <w:sz w:val="28"/>
                <w:szCs w:val="28"/>
              </w:rPr>
              <w:t>(</w:t>
            </w:r>
            <w:r>
              <w:rPr>
                <w:sz w:val="28"/>
                <w:szCs w:val="28"/>
                <w:lang w:val="en-US"/>
              </w:rPr>
              <w:sym w:font="Symbol" w:char="F06C"/>
            </w:r>
            <w:r w:rsidRPr="009A5944">
              <w:rPr>
                <w:sz w:val="28"/>
                <w:szCs w:val="28"/>
              </w:rPr>
              <w:t xml:space="preserve">) </w:t>
            </w:r>
            <w:r>
              <w:rPr>
                <w:sz w:val="28"/>
                <w:szCs w:val="28"/>
              </w:rPr>
              <w:t xml:space="preserve">для </w:t>
            </w:r>
            <w:r>
              <w:rPr>
                <w:sz w:val="28"/>
                <w:szCs w:val="28"/>
                <w:lang w:val="en-US"/>
              </w:rPr>
              <w:t>Cu</w:t>
            </w:r>
            <w:r w:rsidRPr="009A5944">
              <w:rPr>
                <w:sz w:val="28"/>
                <w:szCs w:val="28"/>
              </w:rPr>
              <w:t>2</w:t>
            </w:r>
            <w:proofErr w:type="spellStart"/>
            <w:r>
              <w:rPr>
                <w:sz w:val="28"/>
                <w:szCs w:val="28"/>
                <w:lang w:val="en-US"/>
              </w:rPr>
              <w:t>ZnSnS</w:t>
            </w:r>
            <w:proofErr w:type="spellEnd"/>
            <w:r w:rsidRPr="009A5944">
              <w:rPr>
                <w:sz w:val="28"/>
                <w:szCs w:val="28"/>
              </w:rPr>
              <w:t>4</w:t>
            </w:r>
          </w:p>
        </w:tc>
      </w:tr>
    </w:tbl>
    <w:p w:rsidR="00083E3E" w:rsidRDefault="00083E3E" w:rsidP="00083E3E">
      <w:pPr>
        <w:spacing w:after="100" w:line="360" w:lineRule="auto"/>
        <w:jc w:val="both"/>
        <w:rPr>
          <w:sz w:val="28"/>
          <w:szCs w:val="28"/>
        </w:rPr>
      </w:pPr>
    </w:p>
    <w:p w:rsidR="00083E3E" w:rsidRDefault="00083E3E" w:rsidP="00083E3E">
      <w:pPr>
        <w:spacing w:after="100" w:line="360" w:lineRule="auto"/>
        <w:jc w:val="both"/>
        <w:rPr>
          <w:sz w:val="28"/>
          <w:szCs w:val="28"/>
        </w:rPr>
      </w:pPr>
      <w:r>
        <w:rPr>
          <w:sz w:val="28"/>
          <w:szCs w:val="28"/>
        </w:rPr>
        <w:t>Висновки</w:t>
      </w:r>
    </w:p>
    <w:p w:rsidR="00083E3E" w:rsidRPr="00E71A7B" w:rsidRDefault="00E71A7B" w:rsidP="00E71A7B">
      <w:pPr>
        <w:pStyle w:val="ListParagraph"/>
        <w:numPr>
          <w:ilvl w:val="0"/>
          <w:numId w:val="9"/>
        </w:numPr>
        <w:spacing w:after="100" w:line="360" w:lineRule="auto"/>
        <w:jc w:val="both"/>
        <w:rPr>
          <w:sz w:val="28"/>
          <w:szCs w:val="28"/>
        </w:rPr>
      </w:pPr>
      <w:r w:rsidRPr="00E71A7B">
        <w:rPr>
          <w:sz w:val="28"/>
          <w:szCs w:val="28"/>
        </w:rPr>
        <w:t>Описано два типових прилади цифрових оптичних спектрометрів з їхніми характеристиками та параметрами, які використовувалися для експериментів.</w:t>
      </w:r>
    </w:p>
    <w:p w:rsidR="00E71A7B" w:rsidRPr="00E71A7B" w:rsidRDefault="00E71A7B" w:rsidP="00E71A7B">
      <w:pPr>
        <w:pStyle w:val="ListParagraph"/>
        <w:numPr>
          <w:ilvl w:val="0"/>
          <w:numId w:val="9"/>
        </w:numPr>
        <w:spacing w:line="360" w:lineRule="auto"/>
        <w:jc w:val="both"/>
        <w:rPr>
          <w:color w:val="000000"/>
        </w:rPr>
      </w:pPr>
      <w:r w:rsidRPr="00E71A7B">
        <w:rPr>
          <w:sz w:val="28"/>
          <w:szCs w:val="28"/>
        </w:rPr>
        <w:t>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p>
    <w:p w:rsidR="00E71A7B" w:rsidRPr="00E71A7B" w:rsidRDefault="00E71A7B" w:rsidP="00E71A7B">
      <w:pPr>
        <w:pStyle w:val="ListParagraph"/>
        <w:numPr>
          <w:ilvl w:val="0"/>
          <w:numId w:val="9"/>
        </w:numPr>
        <w:spacing w:after="100" w:line="360" w:lineRule="auto"/>
        <w:jc w:val="both"/>
        <w:rPr>
          <w:sz w:val="28"/>
          <w:szCs w:val="28"/>
        </w:rPr>
      </w:pPr>
      <w:r w:rsidRPr="00E71A7B">
        <w:rPr>
          <w:sz w:val="28"/>
          <w:szCs w:val="28"/>
        </w:rPr>
        <w:t>Було з'ясовано, що коефіцієнти відбивання (refractive index) великої кількості матеріалів виміряні і занесені в таблиці.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(які є унікальними) можна ідентифікувати матеріал.</w:t>
      </w:r>
    </w:p>
    <w:p w:rsidR="00083E3E" w:rsidRPr="00E71A7B" w:rsidRDefault="00E71A7B" w:rsidP="00E71A7B">
      <w:pPr>
        <w:pStyle w:val="ListParagraph"/>
        <w:numPr>
          <w:ilvl w:val="0"/>
          <w:numId w:val="9"/>
        </w:numPr>
        <w:spacing w:after="100" w:line="360" w:lineRule="auto"/>
        <w:jc w:val="both"/>
        <w:rPr>
          <w:sz w:val="28"/>
          <w:szCs w:val="28"/>
        </w:rPr>
      </w:pPr>
      <w:r w:rsidRPr="00E71A7B">
        <w:rPr>
          <w:sz w:val="28"/>
          <w:szCs w:val="28"/>
        </w:rPr>
        <w:lastRenderedPageBreak/>
        <w:t xml:space="preserve">Для розрахунку коефіцієнтів екстинції та фазової компоненти </w:t>
      </w:r>
      <w:r w:rsidRPr="00E71A7B">
        <w:rPr>
          <w:i/>
          <w:sz w:val="28"/>
          <w:szCs w:val="28"/>
        </w:rPr>
        <w:t>θ</w:t>
      </w:r>
      <w:r w:rsidRPr="00E71A7B">
        <w:rPr>
          <w:sz w:val="28"/>
          <w:szCs w:val="28"/>
        </w:rPr>
        <w:t>, використовувалися алгоритми чисельного інтегрування методом Трапецій. Алгоритми інтегрування  були представлені в оригінальному вигляді.</w:t>
      </w:r>
    </w:p>
    <w:p w:rsidR="00E71A7B" w:rsidRDefault="00E71A7B" w:rsidP="00083E3E">
      <w:pPr>
        <w:spacing w:after="100" w:line="360" w:lineRule="auto"/>
        <w:jc w:val="both"/>
        <w:rPr>
          <w:sz w:val="28"/>
          <w:szCs w:val="28"/>
        </w:rPr>
      </w:pPr>
    </w:p>
    <w:p w:rsidR="00083E3E" w:rsidRDefault="00083E3E" w:rsidP="00083E3E">
      <w:pPr>
        <w:spacing w:after="160" w:line="360" w:lineRule="auto"/>
        <w:jc w:val="center"/>
        <w:rPr>
          <w:color w:val="000000"/>
          <w:sz w:val="28"/>
          <w:szCs w:val="28"/>
        </w:rPr>
      </w:pPr>
      <w:r>
        <w:rPr>
          <w:sz w:val="28"/>
          <w:szCs w:val="28"/>
        </w:rPr>
        <w:t>СПИСОК ВИКОРИСТАНОЇ ЛІТЕРАТУРИ</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S. Semenenko, M. Dusheiko, G. Okrepka, R. Redko, S. Antonin, V. Hladkovskyi, V. Shvalagin, F. Gao, S. Shahan, A. Sarikov “Vertically-aligned p-n junction Si solar cells with CdTe/CdS luminescent solar convertors” наукового журналу Thin Solid Films (</w:t>
      </w:r>
      <w:hyperlink r:id="rId62">
        <w:r>
          <w:rPr>
            <w:color w:val="007398"/>
            <w:sz w:val="28"/>
            <w:szCs w:val="28"/>
          </w:rPr>
          <w:t>https://doi.org/10.1016/j.tsf.2022.139536</w:t>
        </w:r>
      </w:hyperlink>
      <w:r>
        <w:rPr>
          <w:sz w:val="28"/>
          <w:szCs w:val="28"/>
        </w:rPr>
        <w:t>)</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G. H. Meeten and A. N. North, “Refractive index measurement of absorbing and turbid fluids by reflection near the critical angle” Meas. Sci. Technol. 6(2), 214–221 (1995), DOI: 10.1088/0957-0233/6/2/014.</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A. J. Jääskeläinen, K. E. Peiponen, and J. A. Räty, “On reflectometric measurement of a refractive index of milk” J. Dairy Sci. 84(1), 38–43 (2001), DOI: doi.org/10.3168/jds.S0022-0302(01)74449-9.</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W. R. Calhoun, H. Maeta, A. Combs, L. M. Bali, and S. Bali, “Measurement of the refractive index of highly turbid media” Opt. Lett. 35(8), 1224–1226 (2010).</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W. R. Calhoun, H. Maeta, S. Roy, L. M. Bali, and S. Bali, “Sensitive real-time measurement of the refractive index and attenuation coefficient of milk and milk-cream mixtures,” J. Dairy Sci. 93(8), 3497–3504 (2010).</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 xml:space="preserve">M. McClimans, C. LaPlante, D. Bonner, and S. Bali, “Real-time differential refractometry without interferometry at a sensitivity level of 10(-6),” Appl. Opt. 45(25), 6477–6486 (2006). </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 xml:space="preserve">M. H. Chiu, J. Y. Lee, and D. C. Su, “Complex refractive-index measurement based on Fresnel’s equations and the uses of heterodyne interferometry,” Appl. Opt. 38(19), 4047–4052 (1999). </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lastRenderedPageBreak/>
        <w:t>Стороженко, И. П. Методи рефрактометрії і поляриметрії / І. П. Сторженко, В. А. Тімонюк, Е. Н. Животова. - Харків: Видавництво НФаУ, 2012. – 64 с.</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Sellmeier, W. (1872). “Ueber die durch die Aetherschwingungen erregten Mitschwingungen der Körpertheilchen und deren Rückwirkung auf die ersteren, besonders zur Erklärung der Dispersion und ihrer Anomalien (II. Theil)” (https://zenodo.org/record/1839719). Annalen der Physik und Chemie. 223 (11): 386—403. DOI:10.1002/andp.18722231105 (</w:t>
      </w:r>
      <w:hyperlink r:id="rId63">
        <w:r>
          <w:rPr>
            <w:color w:val="0000FF"/>
            <w:sz w:val="28"/>
            <w:szCs w:val="28"/>
            <w:u w:val="single"/>
          </w:rPr>
          <w:t>https://doi.org/10.1002%2Fandp.18722231105</w:t>
        </w:r>
      </w:hyperlink>
      <w:r>
        <w:rPr>
          <w:sz w:val="28"/>
          <w:szCs w:val="28"/>
        </w:rPr>
        <w:t>).</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hyperlink r:id="rId64">
        <w:r>
          <w:rPr>
            <w:sz w:val="28"/>
            <w:szCs w:val="28"/>
          </w:rPr>
          <w:t>T. Skauli</w:t>
        </w:r>
      </w:hyperlink>
      <w:r>
        <w:rPr>
          <w:sz w:val="28"/>
          <w:szCs w:val="28"/>
        </w:rPr>
        <w:t xml:space="preserve">, </w:t>
      </w:r>
      <w:hyperlink r:id="rId65">
        <w:r>
          <w:rPr>
            <w:sz w:val="28"/>
            <w:szCs w:val="28"/>
          </w:rPr>
          <w:t>P. S. Kuo</w:t>
        </w:r>
      </w:hyperlink>
      <w:r>
        <w:rPr>
          <w:sz w:val="28"/>
          <w:szCs w:val="28"/>
        </w:rPr>
        <w:t xml:space="preserve">, </w:t>
      </w:r>
      <w:hyperlink r:id="rId66">
        <w:r>
          <w:rPr>
            <w:sz w:val="28"/>
            <w:szCs w:val="28"/>
          </w:rPr>
          <w:t>K. L. Vodopyanov</w:t>
        </w:r>
      </w:hyperlink>
      <w:r>
        <w:rPr>
          <w:sz w:val="28"/>
          <w:szCs w:val="28"/>
        </w:rPr>
        <w:t xml:space="preserve">, </w:t>
      </w:r>
      <w:hyperlink r:id="rId67">
        <w:r>
          <w:rPr>
            <w:sz w:val="28"/>
            <w:szCs w:val="28"/>
          </w:rPr>
          <w:t>T. J. Pinguet</w:t>
        </w:r>
      </w:hyperlink>
      <w:r>
        <w:rPr>
          <w:sz w:val="28"/>
          <w:szCs w:val="28"/>
        </w:rPr>
        <w:t xml:space="preserve">, </w:t>
      </w:r>
      <w:hyperlink r:id="rId68">
        <w:r>
          <w:rPr>
            <w:sz w:val="28"/>
            <w:szCs w:val="28"/>
          </w:rPr>
          <w:t>O. Levi</w:t>
        </w:r>
      </w:hyperlink>
      <w:r>
        <w:rPr>
          <w:sz w:val="28"/>
          <w:szCs w:val="28"/>
        </w:rPr>
        <w:t xml:space="preserve">, </w:t>
      </w:r>
      <w:hyperlink r:id="rId69">
        <w:r>
          <w:rPr>
            <w:sz w:val="28"/>
            <w:szCs w:val="28"/>
          </w:rPr>
          <w:t>L. A. Eyres</w:t>
        </w:r>
      </w:hyperlink>
      <w:r>
        <w:rPr>
          <w:sz w:val="28"/>
          <w:szCs w:val="28"/>
        </w:rPr>
        <w:t xml:space="preserve">, </w:t>
      </w:r>
      <w:hyperlink r:id="rId70">
        <w:r>
          <w:rPr>
            <w:sz w:val="28"/>
            <w:szCs w:val="28"/>
          </w:rPr>
          <w:t>J. S. Harris</w:t>
        </w:r>
      </w:hyperlink>
      <w:r>
        <w:rPr>
          <w:sz w:val="28"/>
          <w:szCs w:val="28"/>
        </w:rPr>
        <w:t xml:space="preserve">, </w:t>
      </w:r>
      <w:hyperlink r:id="rId71">
        <w:r>
          <w:rPr>
            <w:sz w:val="28"/>
            <w:szCs w:val="28"/>
          </w:rPr>
          <w:t>M. M. Fejer</w:t>
        </w:r>
      </w:hyperlink>
      <w:r>
        <w:rPr>
          <w:sz w:val="28"/>
          <w:szCs w:val="28"/>
        </w:rPr>
        <w:t xml:space="preserve">, </w:t>
      </w:r>
      <w:hyperlink r:id="rId72">
        <w:r>
          <w:rPr>
            <w:sz w:val="28"/>
            <w:szCs w:val="28"/>
          </w:rPr>
          <w:t>B. Gerard</w:t>
        </w:r>
      </w:hyperlink>
      <w:r>
        <w:rPr>
          <w:sz w:val="28"/>
          <w:szCs w:val="28"/>
        </w:rPr>
        <w:t xml:space="preserve">, </w:t>
      </w:r>
      <w:hyperlink r:id="rId73">
        <w:r>
          <w:rPr>
            <w:sz w:val="28"/>
            <w:szCs w:val="28"/>
          </w:rPr>
          <w:t>L. Becouarn</w:t>
        </w:r>
      </w:hyperlink>
      <w:r>
        <w:rPr>
          <w:sz w:val="28"/>
          <w:szCs w:val="28"/>
        </w:rPr>
        <w:t xml:space="preserve">, </w:t>
      </w:r>
      <w:hyperlink r:id="rId74">
        <w:r>
          <w:rPr>
            <w:sz w:val="28"/>
            <w:szCs w:val="28"/>
          </w:rPr>
          <w:t>E. Lallier</w:t>
        </w:r>
      </w:hyperlink>
      <w:r>
        <w:rPr>
          <w:sz w:val="28"/>
          <w:szCs w:val="28"/>
        </w:rPr>
        <w:t xml:space="preserve">. Improved dispersion relations for GaAs and applications to nonlinear optics. </w:t>
      </w:r>
      <w:r>
        <w:rPr>
          <w:i/>
          <w:sz w:val="28"/>
          <w:szCs w:val="28"/>
        </w:rPr>
        <w:t>Journal of Applied Physics</w:t>
      </w:r>
      <w:r>
        <w:rPr>
          <w:sz w:val="28"/>
          <w:szCs w:val="28"/>
        </w:rPr>
        <w:t> 94, 6447–6455 (2003) https://doi.org/10.1063/1.1621740</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G. Iasilli, R. Francischello, P. Lova, S. Silvano, A. Surace, G. Pesce, M. Alloisio, M. Patrini, M. Shimizu, D. Comoretto, A. Pucci “Luminescent solar concentrators: boosted optical efficiency by polymer dielectric mirrors” Mater. Chem. Front., 3 (2019), pp. 429-436.</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H. Yang, C. Huang, X. Li, R. Shi, K. Zhang “Luminescent and photocatalytic properties of cadmium sulfide nanoparticles synthesized via microwave irradiation” Mater. Chem. Phys., 90 (2005), pp. 155-158.</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T. Rajh, O.I. Micic, A.J. Nozik “Synthesis and characterization of surface-modified colloidal cadmium telluride quantum dots” J. Phys. Chem., 97 (1993), pp. 11999-12003.</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W.W. Yu, L. Qu, W. Guo, X. Peng “Experimental determination of the extinction coefficient of CdTe, CdSe, and CdS nanocrystals” Chem. Mater., 15 (2003), pp. 2854-2860.</w:t>
      </w:r>
    </w:p>
    <w:p w:rsidR="00083E3E" w:rsidRDefault="00083E3E" w:rsidP="00083E3E">
      <w:pPr>
        <w:numPr>
          <w:ilvl w:val="0"/>
          <w:numId w:val="7"/>
        </w:numPr>
        <w:pBdr>
          <w:top w:val="nil"/>
          <w:left w:val="nil"/>
          <w:bottom w:val="nil"/>
          <w:right w:val="nil"/>
          <w:between w:val="nil"/>
        </w:pBdr>
        <w:shd w:val="clear" w:color="auto" w:fill="FFFFFF"/>
        <w:spacing w:line="360" w:lineRule="auto"/>
        <w:jc w:val="both"/>
        <w:rPr>
          <w:sz w:val="28"/>
          <w:szCs w:val="28"/>
        </w:rPr>
      </w:pPr>
      <w:r>
        <w:rPr>
          <w:sz w:val="28"/>
          <w:szCs w:val="28"/>
        </w:rPr>
        <w:t>L.E. Brus “A simple model for the ionization potential, electron affinity, and aqueous redox potentials of small semiconductor crystallites” J. Chem. Phys., 79 (1983), pp. 5566-5571.</w:t>
      </w:r>
    </w:p>
    <w:p w:rsidR="00083E3E" w:rsidRDefault="00083E3E" w:rsidP="00083E3E">
      <w:pPr>
        <w:numPr>
          <w:ilvl w:val="0"/>
          <w:numId w:val="7"/>
        </w:numPr>
        <w:spacing w:after="100" w:line="360" w:lineRule="auto"/>
        <w:jc w:val="both"/>
        <w:rPr>
          <w:sz w:val="28"/>
          <w:szCs w:val="28"/>
        </w:rPr>
      </w:pPr>
      <w:r>
        <w:rPr>
          <w:sz w:val="28"/>
          <w:szCs w:val="28"/>
        </w:rPr>
        <w:lastRenderedPageBreak/>
        <w:t>SPECORD PC 200/205/210/250 UV VIS Spectrophotometer. User's Manual / 2005 Analytik Jena AG, 43 р.</w:t>
      </w:r>
    </w:p>
    <w:p w:rsidR="003448FA" w:rsidRPr="003448FA" w:rsidRDefault="003448FA">
      <w:pPr>
        <w:spacing w:after="100" w:line="360" w:lineRule="auto"/>
        <w:jc w:val="both"/>
        <w:rPr>
          <w:sz w:val="28"/>
          <w:szCs w:val="28"/>
          <w:lang w:val="en-US"/>
        </w:rPr>
      </w:pPr>
    </w:p>
    <w:sectPr w:rsidR="003448FA" w:rsidRPr="003448FA">
      <w:headerReference w:type="default" r:id="rId75"/>
      <w:pgSz w:w="11906" w:h="16838"/>
      <w:pgMar w:top="1134" w:right="567" w:bottom="1134" w:left="1701" w:header="709"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7FB" w:rsidRDefault="006157FB">
      <w:r>
        <w:separator/>
      </w:r>
    </w:p>
  </w:endnote>
  <w:endnote w:type="continuationSeparator" w:id="0">
    <w:p w:rsidR="006157FB" w:rsidRDefault="00615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Noto Sans Symbols">
    <w:charset w:val="00"/>
    <w:family w:val="auto"/>
    <w:pitch w:val="default"/>
  </w:font>
  <w:font w:name="Tahoma">
    <w:panose1 w:val="020B0604030504040204"/>
    <w:charset w:val="CC"/>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7FB" w:rsidRDefault="006157FB">
      <w:r>
        <w:separator/>
      </w:r>
    </w:p>
  </w:footnote>
  <w:footnote w:type="continuationSeparator" w:id="0">
    <w:p w:rsidR="006157FB" w:rsidRDefault="006157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CF8" w:rsidRDefault="00977C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B4FED"/>
    <w:multiLevelType w:val="hybridMultilevel"/>
    <w:tmpl w:val="E2D0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F54B9"/>
    <w:multiLevelType w:val="multilevel"/>
    <w:tmpl w:val="EEC489A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2A246310"/>
    <w:multiLevelType w:val="multilevel"/>
    <w:tmpl w:val="59E071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2BF62895"/>
    <w:multiLevelType w:val="multilevel"/>
    <w:tmpl w:val="4D7AA38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4A5F705D"/>
    <w:multiLevelType w:val="multilevel"/>
    <w:tmpl w:val="BE6E2A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5E8E4573"/>
    <w:multiLevelType w:val="multilevel"/>
    <w:tmpl w:val="13367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8B2385C"/>
    <w:multiLevelType w:val="multilevel"/>
    <w:tmpl w:val="B30EB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A465BD2"/>
    <w:multiLevelType w:val="multilevel"/>
    <w:tmpl w:val="876E0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65C6FAC"/>
    <w:multiLevelType w:val="multilevel"/>
    <w:tmpl w:val="E03E32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Noto Sans Symbols" w:eastAsia="Noto Sans Symbols" w:hAnsi="Noto Sans Symbols" w:cs="Noto Sans Symbols"/>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Noto Sans Symbols" w:eastAsia="Noto Sans Symbols" w:hAnsi="Noto Sans Symbols" w:cs="Noto Sans Symbols"/>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5"/>
  </w:num>
  <w:num w:numId="2">
    <w:abstractNumId w:val="4"/>
  </w:num>
  <w:num w:numId="3">
    <w:abstractNumId w:val="1"/>
  </w:num>
  <w:num w:numId="4">
    <w:abstractNumId w:val="8"/>
  </w:num>
  <w:num w:numId="5">
    <w:abstractNumId w:val="3"/>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7CF8"/>
    <w:rsid w:val="00083E3E"/>
    <w:rsid w:val="003448FA"/>
    <w:rsid w:val="006157FB"/>
    <w:rsid w:val="00977CF8"/>
    <w:rsid w:val="00E71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2D0"/>
  </w:style>
  <w:style w:type="paragraph" w:styleId="Heading1">
    <w:name w:val="heading 1"/>
    <w:basedOn w:val="Normal"/>
    <w:next w:val="Normal"/>
    <w:link w:val="Heading1Char"/>
    <w:uiPriority w:val="9"/>
    <w:qFormat/>
    <w:rsid w:val="00672078"/>
    <w:pPr>
      <w:keepNext/>
      <w:keepLines/>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Characters">
    <w:name w:val="Footnote Characters"/>
    <w:basedOn w:val="DefaultParagraphFont"/>
    <w:semiHidden/>
    <w:qFormat/>
    <w:rsid w:val="00D36676"/>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semiHidden/>
    <w:qFormat/>
    <w:rsid w:val="00D36676"/>
    <w:rPr>
      <w:rFonts w:ascii="Times New Roman" w:eastAsia="Times New Roman" w:hAnsi="Times New Roman" w:cs="Times New Roman"/>
      <w:sz w:val="20"/>
      <w:szCs w:val="20"/>
      <w:lang w:val="uk-UA" w:eastAsia="ru-RU"/>
    </w:rPr>
  </w:style>
  <w:style w:type="character" w:customStyle="1" w:styleId="HeaderChar">
    <w:name w:val="Header Char"/>
    <w:basedOn w:val="DefaultParagraphFont"/>
    <w:link w:val="Header"/>
    <w:uiPriority w:val="99"/>
    <w:qFormat/>
    <w:rsid w:val="00D36676"/>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D36676"/>
    <w:rPr>
      <w:rFonts w:ascii="Times New Roman" w:eastAsia="Times New Roman" w:hAnsi="Times New Roman" w:cs="Times New Roman"/>
      <w:sz w:val="24"/>
      <w:szCs w:val="24"/>
    </w:rPr>
  </w:style>
  <w:style w:type="character" w:customStyle="1" w:styleId="NormalWebChar">
    <w:name w:val="Normal (Web) Char"/>
    <w:link w:val="NormalWeb"/>
    <w:qFormat/>
    <w:rsid w:val="00D36676"/>
    <w:rPr>
      <w:rFonts w:ascii="Times New Roman" w:eastAsia="Times New Roman" w:hAnsi="Times New Roman" w:cs="Times New Roman"/>
      <w:sz w:val="24"/>
      <w:szCs w:val="24"/>
      <w:lang w:val="uk-UA" w:eastAsia="uk-UA"/>
    </w:rPr>
  </w:style>
  <w:style w:type="character" w:customStyle="1" w:styleId="Heading1Char">
    <w:name w:val="Heading 1 Char"/>
    <w:basedOn w:val="DefaultParagraphFont"/>
    <w:link w:val="Heading1"/>
    <w:uiPriority w:val="9"/>
    <w:qFormat/>
    <w:rsid w:val="00672078"/>
    <w:rPr>
      <w:rFonts w:ascii="Times New Roman" w:eastAsiaTheme="majorEastAsia" w:hAnsi="Times New Roman" w:cs="Times New Roman"/>
      <w:color w:val="000000" w:themeColor="text1"/>
      <w:sz w:val="32"/>
      <w:szCs w:val="32"/>
      <w:lang w:val="ru-RU"/>
    </w:rPr>
  </w:style>
  <w:style w:type="character" w:customStyle="1" w:styleId="BodyTextIndent2Char">
    <w:name w:val="Body Text Indent 2 Char"/>
    <w:basedOn w:val="DefaultParagraphFont"/>
    <w:link w:val="BodyTextIndent2"/>
    <w:qFormat/>
    <w:rsid w:val="00C57259"/>
    <w:rPr>
      <w:rFonts w:ascii="Times New Roman" w:eastAsia="Times New Roman" w:hAnsi="Times New Roman" w:cs="Times New Roman"/>
      <w:sz w:val="28"/>
      <w:szCs w:val="24"/>
      <w:lang w:val="uk-UA" w:eastAsia="ru-RU"/>
    </w:rPr>
  </w:style>
  <w:style w:type="character" w:styleId="Hyperlink">
    <w:name w:val="Hyperlink"/>
    <w:basedOn w:val="DefaultParagraphFont"/>
    <w:uiPriority w:val="99"/>
    <w:unhideWhenUsed/>
    <w:rsid w:val="009E5991"/>
    <w:rPr>
      <w:color w:val="0563C1" w:themeColor="hyperlink"/>
      <w:u w:val="single"/>
    </w:rPr>
  </w:style>
  <w:style w:type="character" w:customStyle="1" w:styleId="UnresolvedMention1">
    <w:name w:val="Unresolved Mention1"/>
    <w:basedOn w:val="DefaultParagraphFont"/>
    <w:uiPriority w:val="99"/>
    <w:semiHidden/>
    <w:unhideWhenUsed/>
    <w:qFormat/>
    <w:rsid w:val="009E5991"/>
    <w:rPr>
      <w:color w:val="605E5C"/>
      <w:shd w:val="clear" w:color="auto" w:fill="E1DFDD"/>
    </w:rPr>
  </w:style>
  <w:style w:type="character" w:customStyle="1" w:styleId="BalloonTextChar">
    <w:name w:val="Balloon Text Char"/>
    <w:basedOn w:val="DefaultParagraphFont"/>
    <w:link w:val="BalloonText"/>
    <w:uiPriority w:val="99"/>
    <w:semiHidden/>
    <w:qFormat/>
    <w:rsid w:val="00AE0911"/>
    <w:rPr>
      <w:rFonts w:ascii="Tahoma" w:hAnsi="Tahoma" w:cs="Tahoma"/>
      <w:sz w:val="16"/>
      <w:szCs w:val="16"/>
    </w:rPr>
  </w:style>
  <w:style w:type="character" w:styleId="CommentReference">
    <w:name w:val="annotation reference"/>
    <w:basedOn w:val="DefaultParagraphFont"/>
    <w:uiPriority w:val="99"/>
    <w:semiHidden/>
    <w:unhideWhenUsed/>
    <w:qFormat/>
    <w:rsid w:val="001E65B7"/>
    <w:rPr>
      <w:sz w:val="16"/>
      <w:szCs w:val="16"/>
    </w:rPr>
  </w:style>
  <w:style w:type="character" w:customStyle="1" w:styleId="CommentTextChar">
    <w:name w:val="Comment Text Char"/>
    <w:basedOn w:val="DefaultParagraphFont"/>
    <w:link w:val="CommentText"/>
    <w:uiPriority w:val="99"/>
    <w:semiHidden/>
    <w:qFormat/>
    <w:rsid w:val="001E65B7"/>
    <w:rPr>
      <w:sz w:val="20"/>
      <w:szCs w:val="20"/>
    </w:rPr>
  </w:style>
  <w:style w:type="character" w:customStyle="1" w:styleId="CommentSubjectChar">
    <w:name w:val="Comment Subject Char"/>
    <w:basedOn w:val="CommentTextChar"/>
    <w:link w:val="CommentSubject"/>
    <w:uiPriority w:val="99"/>
    <w:semiHidden/>
    <w:qFormat/>
    <w:rsid w:val="001E65B7"/>
    <w:rPr>
      <w:b/>
      <w:bCs/>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FootnoteText">
    <w:name w:val="footnote text"/>
    <w:basedOn w:val="Normal"/>
    <w:link w:val="FootnoteTextChar"/>
    <w:semiHidden/>
    <w:rsid w:val="00D36676"/>
    <w:pPr>
      <w:spacing w:line="264" w:lineRule="auto"/>
      <w:ind w:firstLine="357"/>
      <w:jc w:val="both"/>
    </w:pPr>
    <w:rPr>
      <w:sz w:val="20"/>
      <w:szCs w:val="20"/>
      <w:lang w:eastAsia="ru-R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36676"/>
    <w:pPr>
      <w:tabs>
        <w:tab w:val="center" w:pos="4986"/>
        <w:tab w:val="right" w:pos="9973"/>
      </w:tabs>
    </w:pPr>
  </w:style>
  <w:style w:type="paragraph" w:styleId="Footer">
    <w:name w:val="footer"/>
    <w:basedOn w:val="Normal"/>
    <w:link w:val="FooterChar"/>
    <w:uiPriority w:val="99"/>
    <w:unhideWhenUsed/>
    <w:rsid w:val="00D36676"/>
    <w:pPr>
      <w:tabs>
        <w:tab w:val="center" w:pos="4986"/>
        <w:tab w:val="right" w:pos="9973"/>
      </w:tabs>
    </w:pPr>
  </w:style>
  <w:style w:type="paragraph" w:styleId="ListParagraph">
    <w:name w:val="List Paragraph"/>
    <w:basedOn w:val="Normal"/>
    <w:uiPriority w:val="34"/>
    <w:qFormat/>
    <w:rsid w:val="00D36676"/>
    <w:pPr>
      <w:ind w:left="720"/>
      <w:contextualSpacing/>
    </w:pPr>
  </w:style>
  <w:style w:type="paragraph" w:styleId="NormalWeb">
    <w:name w:val="Normal (Web)"/>
    <w:basedOn w:val="Normal"/>
    <w:link w:val="NormalWebChar"/>
    <w:qFormat/>
    <w:rsid w:val="00D36676"/>
    <w:pPr>
      <w:spacing w:beforeAutospacing="1" w:afterAutospacing="1"/>
    </w:pPr>
    <w:rPr>
      <w:lang w:eastAsia="uk-UA"/>
    </w:rPr>
  </w:style>
  <w:style w:type="paragraph" w:styleId="BodyTextIndent2">
    <w:name w:val="Body Text Indent 2"/>
    <w:basedOn w:val="Normal"/>
    <w:link w:val="BodyTextIndent2Char"/>
    <w:qFormat/>
    <w:rsid w:val="00C57259"/>
    <w:pPr>
      <w:spacing w:before="60" w:after="60"/>
      <w:ind w:firstLine="539"/>
      <w:jc w:val="both"/>
    </w:pPr>
    <w:rPr>
      <w:sz w:val="28"/>
      <w:lang w:eastAsia="ru-RU"/>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AE0911"/>
    <w:rPr>
      <w:rFonts w:ascii="Tahoma" w:hAnsi="Tahoma" w:cs="Tahoma"/>
      <w:sz w:val="16"/>
      <w:szCs w:val="16"/>
    </w:rPr>
  </w:style>
  <w:style w:type="paragraph" w:styleId="CommentText">
    <w:name w:val="annotation text"/>
    <w:basedOn w:val="Normal"/>
    <w:link w:val="CommentTextChar"/>
    <w:uiPriority w:val="99"/>
    <w:semiHidden/>
    <w:unhideWhenUsed/>
    <w:qFormat/>
    <w:rsid w:val="001E65B7"/>
    <w:rPr>
      <w:sz w:val="20"/>
      <w:szCs w:val="20"/>
    </w:rPr>
  </w:style>
  <w:style w:type="paragraph" w:styleId="CommentSubject">
    <w:name w:val="annotation subject"/>
    <w:basedOn w:val="CommentText"/>
    <w:next w:val="CommentText"/>
    <w:link w:val="CommentSubjectChar"/>
    <w:uiPriority w:val="99"/>
    <w:semiHidden/>
    <w:unhideWhenUsed/>
    <w:qFormat/>
    <w:rsid w:val="001E65B7"/>
    <w:rPr>
      <w:b/>
      <w:bCs/>
    </w:rPr>
  </w:style>
  <w:style w:type="table" w:styleId="TableGrid">
    <w:name w:val="Table Grid"/>
    <w:basedOn w:val="TableNormal"/>
    <w:uiPriority w:val="39"/>
    <w:rsid w:val="009B1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paragraph" w:styleId="Revision">
    <w:name w:val="Revision"/>
    <w:hidden/>
    <w:uiPriority w:val="99"/>
    <w:semiHidden/>
    <w:rsid w:val="0026609A"/>
  </w:style>
  <w:style w:type="table" w:customStyle="1" w:styleId="a6">
    <w:basedOn w:val="TableNormal"/>
    <w:tblPr>
      <w:tblStyleRowBandSize w:val="1"/>
      <w:tblStyleColBandSize w:val="1"/>
      <w:tblInd w:w="0" w:type="dxa"/>
      <w:tblCellMar>
        <w:top w:w="100" w:type="dxa"/>
        <w:left w:w="115" w:type="dxa"/>
        <w:bottom w:w="100" w:type="dxa"/>
        <w:right w:w="115" w:type="dxa"/>
      </w:tblCellMar>
    </w:tblPr>
  </w:style>
  <w:style w:type="table" w:customStyle="1" w:styleId="a7">
    <w:basedOn w:val="TableNormal"/>
    <w:tblPr>
      <w:tblStyleRowBandSize w:val="1"/>
      <w:tblStyleColBandSize w:val="1"/>
      <w:tblInd w:w="0" w:type="dxa"/>
      <w:tblCellMar>
        <w:top w:w="100" w:type="dxa"/>
        <w:left w:w="115" w:type="dxa"/>
        <w:bottom w:w="100" w:type="dxa"/>
        <w:right w:w="115" w:type="dxa"/>
      </w:tblCellMar>
    </w:tblPr>
  </w:style>
  <w:style w:type="table" w:customStyle="1" w:styleId="a8">
    <w:basedOn w:val="TableNormal"/>
    <w:tblPr>
      <w:tblStyleRowBandSize w:val="1"/>
      <w:tblStyleColBandSize w:val="1"/>
      <w:tblInd w:w="0" w:type="dxa"/>
      <w:tblCellMar>
        <w:top w:w="100" w:type="dxa"/>
        <w:left w:w="115" w:type="dxa"/>
        <w:bottom w:w="100" w:type="dxa"/>
        <w:right w:w="115" w:type="dxa"/>
      </w:tblCellMar>
    </w:tblPr>
  </w:style>
  <w:style w:type="table" w:customStyle="1" w:styleId="a9">
    <w:basedOn w:val="TableNormal"/>
    <w:tblPr>
      <w:tblStyleRowBandSize w:val="1"/>
      <w:tblStyleColBandSize w:val="1"/>
      <w:tblInd w:w="0" w:type="dxa"/>
      <w:tblCellMar>
        <w:top w:w="100" w:type="dxa"/>
        <w:left w:w="115" w:type="dxa"/>
        <w:bottom w:w="100" w:type="dxa"/>
        <w:right w:w="115" w:type="dxa"/>
      </w:tblCellMar>
    </w:tblPr>
  </w:style>
  <w:style w:type="table" w:customStyle="1" w:styleId="aa">
    <w:basedOn w:val="TableNormal"/>
    <w:tblPr>
      <w:tblStyleRowBandSize w:val="1"/>
      <w:tblStyleColBandSize w:val="1"/>
      <w:tblInd w:w="0" w:type="dxa"/>
      <w:tblCellMar>
        <w:top w:w="100" w:type="dxa"/>
        <w:left w:w="115" w:type="dxa"/>
        <w:bottom w:w="100" w:type="dxa"/>
        <w:right w:w="115" w:type="dxa"/>
      </w:tblCellMar>
    </w:tblPr>
  </w:style>
  <w:style w:type="table" w:customStyle="1" w:styleId="ab">
    <w:basedOn w:val="TableNormal"/>
    <w:tblPr>
      <w:tblStyleRowBandSize w:val="1"/>
      <w:tblStyleColBandSize w:val="1"/>
      <w:tblInd w:w="0" w:type="dxa"/>
      <w:tblCellMar>
        <w:top w:w="100" w:type="dxa"/>
        <w:left w:w="115" w:type="dxa"/>
        <w:bottom w:w="100" w:type="dxa"/>
        <w:right w:w="115" w:type="dxa"/>
      </w:tblCellMar>
    </w:tblPr>
  </w:style>
  <w:style w:type="table" w:customStyle="1" w:styleId="ac">
    <w:basedOn w:val="TableNormal"/>
    <w:tblPr>
      <w:tblStyleRowBandSize w:val="1"/>
      <w:tblStyleColBandSize w:val="1"/>
      <w:tblInd w:w="0" w:type="dxa"/>
      <w:tblCellMar>
        <w:top w:w="100" w:type="dxa"/>
        <w:left w:w="115" w:type="dxa"/>
        <w:bottom w:w="10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2D0"/>
  </w:style>
  <w:style w:type="paragraph" w:styleId="Heading1">
    <w:name w:val="heading 1"/>
    <w:basedOn w:val="Normal"/>
    <w:next w:val="Normal"/>
    <w:link w:val="Heading1Char"/>
    <w:uiPriority w:val="9"/>
    <w:qFormat/>
    <w:rsid w:val="00672078"/>
    <w:pPr>
      <w:keepNext/>
      <w:keepLines/>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Characters">
    <w:name w:val="Footnote Characters"/>
    <w:basedOn w:val="DefaultParagraphFont"/>
    <w:semiHidden/>
    <w:qFormat/>
    <w:rsid w:val="00D36676"/>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semiHidden/>
    <w:qFormat/>
    <w:rsid w:val="00D36676"/>
    <w:rPr>
      <w:rFonts w:ascii="Times New Roman" w:eastAsia="Times New Roman" w:hAnsi="Times New Roman" w:cs="Times New Roman"/>
      <w:sz w:val="20"/>
      <w:szCs w:val="20"/>
      <w:lang w:val="uk-UA" w:eastAsia="ru-RU"/>
    </w:rPr>
  </w:style>
  <w:style w:type="character" w:customStyle="1" w:styleId="HeaderChar">
    <w:name w:val="Header Char"/>
    <w:basedOn w:val="DefaultParagraphFont"/>
    <w:link w:val="Header"/>
    <w:uiPriority w:val="99"/>
    <w:qFormat/>
    <w:rsid w:val="00D36676"/>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D36676"/>
    <w:rPr>
      <w:rFonts w:ascii="Times New Roman" w:eastAsia="Times New Roman" w:hAnsi="Times New Roman" w:cs="Times New Roman"/>
      <w:sz w:val="24"/>
      <w:szCs w:val="24"/>
    </w:rPr>
  </w:style>
  <w:style w:type="character" w:customStyle="1" w:styleId="NormalWebChar">
    <w:name w:val="Normal (Web) Char"/>
    <w:link w:val="NormalWeb"/>
    <w:qFormat/>
    <w:rsid w:val="00D36676"/>
    <w:rPr>
      <w:rFonts w:ascii="Times New Roman" w:eastAsia="Times New Roman" w:hAnsi="Times New Roman" w:cs="Times New Roman"/>
      <w:sz w:val="24"/>
      <w:szCs w:val="24"/>
      <w:lang w:val="uk-UA" w:eastAsia="uk-UA"/>
    </w:rPr>
  </w:style>
  <w:style w:type="character" w:customStyle="1" w:styleId="Heading1Char">
    <w:name w:val="Heading 1 Char"/>
    <w:basedOn w:val="DefaultParagraphFont"/>
    <w:link w:val="Heading1"/>
    <w:uiPriority w:val="9"/>
    <w:qFormat/>
    <w:rsid w:val="00672078"/>
    <w:rPr>
      <w:rFonts w:ascii="Times New Roman" w:eastAsiaTheme="majorEastAsia" w:hAnsi="Times New Roman" w:cs="Times New Roman"/>
      <w:color w:val="000000" w:themeColor="text1"/>
      <w:sz w:val="32"/>
      <w:szCs w:val="32"/>
      <w:lang w:val="ru-RU"/>
    </w:rPr>
  </w:style>
  <w:style w:type="character" w:customStyle="1" w:styleId="BodyTextIndent2Char">
    <w:name w:val="Body Text Indent 2 Char"/>
    <w:basedOn w:val="DefaultParagraphFont"/>
    <w:link w:val="BodyTextIndent2"/>
    <w:qFormat/>
    <w:rsid w:val="00C57259"/>
    <w:rPr>
      <w:rFonts w:ascii="Times New Roman" w:eastAsia="Times New Roman" w:hAnsi="Times New Roman" w:cs="Times New Roman"/>
      <w:sz w:val="28"/>
      <w:szCs w:val="24"/>
      <w:lang w:val="uk-UA" w:eastAsia="ru-RU"/>
    </w:rPr>
  </w:style>
  <w:style w:type="character" w:styleId="Hyperlink">
    <w:name w:val="Hyperlink"/>
    <w:basedOn w:val="DefaultParagraphFont"/>
    <w:uiPriority w:val="99"/>
    <w:unhideWhenUsed/>
    <w:rsid w:val="009E5991"/>
    <w:rPr>
      <w:color w:val="0563C1" w:themeColor="hyperlink"/>
      <w:u w:val="single"/>
    </w:rPr>
  </w:style>
  <w:style w:type="character" w:customStyle="1" w:styleId="UnresolvedMention1">
    <w:name w:val="Unresolved Mention1"/>
    <w:basedOn w:val="DefaultParagraphFont"/>
    <w:uiPriority w:val="99"/>
    <w:semiHidden/>
    <w:unhideWhenUsed/>
    <w:qFormat/>
    <w:rsid w:val="009E5991"/>
    <w:rPr>
      <w:color w:val="605E5C"/>
      <w:shd w:val="clear" w:color="auto" w:fill="E1DFDD"/>
    </w:rPr>
  </w:style>
  <w:style w:type="character" w:customStyle="1" w:styleId="BalloonTextChar">
    <w:name w:val="Balloon Text Char"/>
    <w:basedOn w:val="DefaultParagraphFont"/>
    <w:link w:val="BalloonText"/>
    <w:uiPriority w:val="99"/>
    <w:semiHidden/>
    <w:qFormat/>
    <w:rsid w:val="00AE0911"/>
    <w:rPr>
      <w:rFonts w:ascii="Tahoma" w:hAnsi="Tahoma" w:cs="Tahoma"/>
      <w:sz w:val="16"/>
      <w:szCs w:val="16"/>
    </w:rPr>
  </w:style>
  <w:style w:type="character" w:styleId="CommentReference">
    <w:name w:val="annotation reference"/>
    <w:basedOn w:val="DefaultParagraphFont"/>
    <w:uiPriority w:val="99"/>
    <w:semiHidden/>
    <w:unhideWhenUsed/>
    <w:qFormat/>
    <w:rsid w:val="001E65B7"/>
    <w:rPr>
      <w:sz w:val="16"/>
      <w:szCs w:val="16"/>
    </w:rPr>
  </w:style>
  <w:style w:type="character" w:customStyle="1" w:styleId="CommentTextChar">
    <w:name w:val="Comment Text Char"/>
    <w:basedOn w:val="DefaultParagraphFont"/>
    <w:link w:val="CommentText"/>
    <w:uiPriority w:val="99"/>
    <w:semiHidden/>
    <w:qFormat/>
    <w:rsid w:val="001E65B7"/>
    <w:rPr>
      <w:sz w:val="20"/>
      <w:szCs w:val="20"/>
    </w:rPr>
  </w:style>
  <w:style w:type="character" w:customStyle="1" w:styleId="CommentSubjectChar">
    <w:name w:val="Comment Subject Char"/>
    <w:basedOn w:val="CommentTextChar"/>
    <w:link w:val="CommentSubject"/>
    <w:uiPriority w:val="99"/>
    <w:semiHidden/>
    <w:qFormat/>
    <w:rsid w:val="001E65B7"/>
    <w:rPr>
      <w:b/>
      <w:bCs/>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FootnoteText">
    <w:name w:val="footnote text"/>
    <w:basedOn w:val="Normal"/>
    <w:link w:val="FootnoteTextChar"/>
    <w:semiHidden/>
    <w:rsid w:val="00D36676"/>
    <w:pPr>
      <w:spacing w:line="264" w:lineRule="auto"/>
      <w:ind w:firstLine="357"/>
      <w:jc w:val="both"/>
    </w:pPr>
    <w:rPr>
      <w:sz w:val="20"/>
      <w:szCs w:val="20"/>
      <w:lang w:eastAsia="ru-R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36676"/>
    <w:pPr>
      <w:tabs>
        <w:tab w:val="center" w:pos="4986"/>
        <w:tab w:val="right" w:pos="9973"/>
      </w:tabs>
    </w:pPr>
  </w:style>
  <w:style w:type="paragraph" w:styleId="Footer">
    <w:name w:val="footer"/>
    <w:basedOn w:val="Normal"/>
    <w:link w:val="FooterChar"/>
    <w:uiPriority w:val="99"/>
    <w:unhideWhenUsed/>
    <w:rsid w:val="00D36676"/>
    <w:pPr>
      <w:tabs>
        <w:tab w:val="center" w:pos="4986"/>
        <w:tab w:val="right" w:pos="9973"/>
      </w:tabs>
    </w:pPr>
  </w:style>
  <w:style w:type="paragraph" w:styleId="ListParagraph">
    <w:name w:val="List Paragraph"/>
    <w:basedOn w:val="Normal"/>
    <w:uiPriority w:val="34"/>
    <w:qFormat/>
    <w:rsid w:val="00D36676"/>
    <w:pPr>
      <w:ind w:left="720"/>
      <w:contextualSpacing/>
    </w:pPr>
  </w:style>
  <w:style w:type="paragraph" w:styleId="NormalWeb">
    <w:name w:val="Normal (Web)"/>
    <w:basedOn w:val="Normal"/>
    <w:link w:val="NormalWebChar"/>
    <w:qFormat/>
    <w:rsid w:val="00D36676"/>
    <w:pPr>
      <w:spacing w:beforeAutospacing="1" w:afterAutospacing="1"/>
    </w:pPr>
    <w:rPr>
      <w:lang w:eastAsia="uk-UA"/>
    </w:rPr>
  </w:style>
  <w:style w:type="paragraph" w:styleId="BodyTextIndent2">
    <w:name w:val="Body Text Indent 2"/>
    <w:basedOn w:val="Normal"/>
    <w:link w:val="BodyTextIndent2Char"/>
    <w:qFormat/>
    <w:rsid w:val="00C57259"/>
    <w:pPr>
      <w:spacing w:before="60" w:after="60"/>
      <w:ind w:firstLine="539"/>
      <w:jc w:val="both"/>
    </w:pPr>
    <w:rPr>
      <w:sz w:val="28"/>
      <w:lang w:eastAsia="ru-RU"/>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AE0911"/>
    <w:rPr>
      <w:rFonts w:ascii="Tahoma" w:hAnsi="Tahoma" w:cs="Tahoma"/>
      <w:sz w:val="16"/>
      <w:szCs w:val="16"/>
    </w:rPr>
  </w:style>
  <w:style w:type="paragraph" w:styleId="CommentText">
    <w:name w:val="annotation text"/>
    <w:basedOn w:val="Normal"/>
    <w:link w:val="CommentTextChar"/>
    <w:uiPriority w:val="99"/>
    <w:semiHidden/>
    <w:unhideWhenUsed/>
    <w:qFormat/>
    <w:rsid w:val="001E65B7"/>
    <w:rPr>
      <w:sz w:val="20"/>
      <w:szCs w:val="20"/>
    </w:rPr>
  </w:style>
  <w:style w:type="paragraph" w:styleId="CommentSubject">
    <w:name w:val="annotation subject"/>
    <w:basedOn w:val="CommentText"/>
    <w:next w:val="CommentText"/>
    <w:link w:val="CommentSubjectChar"/>
    <w:uiPriority w:val="99"/>
    <w:semiHidden/>
    <w:unhideWhenUsed/>
    <w:qFormat/>
    <w:rsid w:val="001E65B7"/>
    <w:rPr>
      <w:b/>
      <w:bCs/>
    </w:rPr>
  </w:style>
  <w:style w:type="table" w:styleId="TableGrid">
    <w:name w:val="Table Grid"/>
    <w:basedOn w:val="TableNormal"/>
    <w:uiPriority w:val="39"/>
    <w:rsid w:val="009B1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paragraph" w:styleId="Revision">
    <w:name w:val="Revision"/>
    <w:hidden/>
    <w:uiPriority w:val="99"/>
    <w:semiHidden/>
    <w:rsid w:val="0026609A"/>
  </w:style>
  <w:style w:type="table" w:customStyle="1" w:styleId="a6">
    <w:basedOn w:val="TableNormal"/>
    <w:tblPr>
      <w:tblStyleRowBandSize w:val="1"/>
      <w:tblStyleColBandSize w:val="1"/>
      <w:tblInd w:w="0" w:type="dxa"/>
      <w:tblCellMar>
        <w:top w:w="100" w:type="dxa"/>
        <w:left w:w="115" w:type="dxa"/>
        <w:bottom w:w="100" w:type="dxa"/>
        <w:right w:w="115" w:type="dxa"/>
      </w:tblCellMar>
    </w:tblPr>
  </w:style>
  <w:style w:type="table" w:customStyle="1" w:styleId="a7">
    <w:basedOn w:val="TableNormal"/>
    <w:tblPr>
      <w:tblStyleRowBandSize w:val="1"/>
      <w:tblStyleColBandSize w:val="1"/>
      <w:tblInd w:w="0" w:type="dxa"/>
      <w:tblCellMar>
        <w:top w:w="100" w:type="dxa"/>
        <w:left w:w="115" w:type="dxa"/>
        <w:bottom w:w="100" w:type="dxa"/>
        <w:right w:w="115" w:type="dxa"/>
      </w:tblCellMar>
    </w:tblPr>
  </w:style>
  <w:style w:type="table" w:customStyle="1" w:styleId="a8">
    <w:basedOn w:val="TableNormal"/>
    <w:tblPr>
      <w:tblStyleRowBandSize w:val="1"/>
      <w:tblStyleColBandSize w:val="1"/>
      <w:tblInd w:w="0" w:type="dxa"/>
      <w:tblCellMar>
        <w:top w:w="100" w:type="dxa"/>
        <w:left w:w="115" w:type="dxa"/>
        <w:bottom w:w="100" w:type="dxa"/>
        <w:right w:w="115" w:type="dxa"/>
      </w:tblCellMar>
    </w:tblPr>
  </w:style>
  <w:style w:type="table" w:customStyle="1" w:styleId="a9">
    <w:basedOn w:val="TableNormal"/>
    <w:tblPr>
      <w:tblStyleRowBandSize w:val="1"/>
      <w:tblStyleColBandSize w:val="1"/>
      <w:tblInd w:w="0" w:type="dxa"/>
      <w:tblCellMar>
        <w:top w:w="100" w:type="dxa"/>
        <w:left w:w="115" w:type="dxa"/>
        <w:bottom w:w="100" w:type="dxa"/>
        <w:right w:w="115" w:type="dxa"/>
      </w:tblCellMar>
    </w:tblPr>
  </w:style>
  <w:style w:type="table" w:customStyle="1" w:styleId="aa">
    <w:basedOn w:val="TableNormal"/>
    <w:tblPr>
      <w:tblStyleRowBandSize w:val="1"/>
      <w:tblStyleColBandSize w:val="1"/>
      <w:tblInd w:w="0" w:type="dxa"/>
      <w:tblCellMar>
        <w:top w:w="100" w:type="dxa"/>
        <w:left w:w="115" w:type="dxa"/>
        <w:bottom w:w="100" w:type="dxa"/>
        <w:right w:w="115" w:type="dxa"/>
      </w:tblCellMar>
    </w:tblPr>
  </w:style>
  <w:style w:type="table" w:customStyle="1" w:styleId="ab">
    <w:basedOn w:val="TableNormal"/>
    <w:tblPr>
      <w:tblStyleRowBandSize w:val="1"/>
      <w:tblStyleColBandSize w:val="1"/>
      <w:tblInd w:w="0" w:type="dxa"/>
      <w:tblCellMar>
        <w:top w:w="100" w:type="dxa"/>
        <w:left w:w="115" w:type="dxa"/>
        <w:bottom w:w="100" w:type="dxa"/>
        <w:right w:w="115" w:type="dxa"/>
      </w:tblCellMar>
    </w:tblPr>
  </w:style>
  <w:style w:type="table" w:customStyle="1" w:styleId="ac">
    <w:basedOn w:val="TableNormal"/>
    <w:tblPr>
      <w:tblStyleRowBandSize w:val="1"/>
      <w:tblStyleColBandSize w:val="1"/>
      <w:tblInd w:w="0" w:type="dxa"/>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934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2.bin"/><Relationship Id="rId42" Type="http://schemas.openxmlformats.org/officeDocument/2006/relationships/image" Target="media/image22.wmf"/><Relationship Id="rId47" Type="http://schemas.openxmlformats.org/officeDocument/2006/relationships/image" Target="media/image25.png"/><Relationship Id="rId63" Type="http://schemas.openxmlformats.org/officeDocument/2006/relationships/hyperlink" Target="https://doi.org/10.1002%2Fandp.18722231105" TargetMode="External"/><Relationship Id="rId68" Type="http://schemas.openxmlformats.org/officeDocument/2006/relationships/hyperlink" Target="about:blank"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image" Target="media/image24.wmf"/><Relationship Id="rId53" Type="http://schemas.openxmlformats.org/officeDocument/2006/relationships/image" Target="media/image31.png"/><Relationship Id="rId58" Type="http://schemas.openxmlformats.org/officeDocument/2006/relationships/image" Target="media/image35.wmf"/><Relationship Id="rId66" Type="http://schemas.openxmlformats.org/officeDocument/2006/relationships/hyperlink" Target="about:blank" TargetMode="External"/><Relationship Id="rId74" Type="http://schemas.openxmlformats.org/officeDocument/2006/relationships/hyperlink" Target="about:blank" TargetMode="External"/><Relationship Id="rId5" Type="http://schemas.openxmlformats.org/officeDocument/2006/relationships/settings" Target="settings.xml"/><Relationship Id="rId61" Type="http://schemas.openxmlformats.org/officeDocument/2006/relationships/oleObject" Target="embeddings/oleObject16.bin"/><Relationship Id="rId1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3.wmf"/><Relationship Id="rId64" Type="http://schemas.openxmlformats.org/officeDocument/2006/relationships/hyperlink" Target="about:blank" TargetMode="External"/><Relationship Id="rId69" Type="http://schemas.openxmlformats.org/officeDocument/2006/relationships/hyperlink" Target="about:blank"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hyperlink" Target="about:blan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oleObject" Target="embeddings/oleObject14.bin"/><Relationship Id="rId59" Type="http://schemas.openxmlformats.org/officeDocument/2006/relationships/image" Target="media/image36.wmf"/><Relationship Id="rId67" Type="http://schemas.openxmlformats.org/officeDocument/2006/relationships/hyperlink" Target="about:blank" TargetMode="External"/><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oleObject" Target="embeddings/oleObject15.bin"/><Relationship Id="rId62" Type="http://schemas.openxmlformats.org/officeDocument/2006/relationships/hyperlink" Target="https://doi.org/10.1016/j.tsf.2022.139536" TargetMode="External"/><Relationship Id="rId70" Type="http://schemas.openxmlformats.org/officeDocument/2006/relationships/hyperlink" Target="about:blank"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7.wmf"/><Relationship Id="rId57" Type="http://schemas.openxmlformats.org/officeDocument/2006/relationships/image" Target="media/image34.wmf"/><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image" Target="media/image37.png"/><Relationship Id="rId65" Type="http://schemas.openxmlformats.org/officeDocument/2006/relationships/hyperlink" Target="about:blank" TargetMode="External"/><Relationship Id="rId73" Type="http://schemas.openxmlformats.org/officeDocument/2006/relationships/hyperlink" Target="about:blank"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34" Type="http://schemas.openxmlformats.org/officeDocument/2006/relationships/image" Target="media/image18.wmf"/><Relationship Id="rId50" Type="http://schemas.openxmlformats.org/officeDocument/2006/relationships/image" Target="media/image28.wmf"/><Relationship Id="rId55" Type="http://schemas.openxmlformats.org/officeDocument/2006/relationships/image" Target="media/image32.w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about:blank" TargetMode="External"/><Relationship Id="rId2" Type="http://schemas.openxmlformats.org/officeDocument/2006/relationships/numbering" Target="numbering.xml"/><Relationship Id="rId2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GBm+vRalpGSQ3QSwsqSkYW8Egg==">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3857</Words>
  <Characters>21990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Volodymyr Berbeha</dc:creator>
  <cp:lastModifiedBy>nik</cp:lastModifiedBy>
  <cp:revision>3</cp:revision>
  <dcterms:created xsi:type="dcterms:W3CDTF">2023-09-05T15:09:00Z</dcterms:created>
  <dcterms:modified xsi:type="dcterms:W3CDTF">2023-09-05T15:27:00Z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