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before="0" w:after="160"/>
        <w:jc w:val="center"/>
        <w:rPr>
          <w:color w:val="000000"/>
          <w:sz w:val="28"/>
          <w:szCs w:val="28"/>
        </w:rPr>
      </w:pPr>
      <w:r>
        <w:rPr>
          <w:sz w:val="28"/>
          <w:szCs w:val="28"/>
        </w:rPr>
        <w:t>СПИСОК ВИКОРИСТАНОЇ ЛІТЕРАТУРИ</w:t>
      </w:r>
    </w:p>
    <w:p>
      <w:pPr>
        <w:pStyle w:val="Normal1"/>
        <w:numPr>
          <w:ilvl w:val="0"/>
          <w:numId w:val="1"/>
        </w:numPr>
        <w:pBdr/>
        <w:shd w:val="clear" w:fill="FFFFFF"/>
        <w:spacing w:lineRule="auto" w:line="360"/>
        <w:ind w:left="720" w:hanging="360"/>
        <w:jc w:val="both"/>
        <w:rPr>
          <w:sz w:val="28"/>
          <w:szCs w:val="28"/>
        </w:rPr>
      </w:pPr>
      <w:r>
        <w:rPr>
          <w:sz w:val="28"/>
          <w:szCs w:val="28"/>
        </w:rPr>
        <w:t>S. Semenenko, M. Dusheiko, G. Okrepka, R. Redko, S. Antonin, V. Hladkovskyi, V. Shvalagin, F. Gao, S. Shahan, A. Sarikov “Vertically-aligned p-n junction Si solar cells with CdTe/CdS luminescent solar convertors” наукового журналу Thin Solid Films (</w:t>
      </w:r>
      <w:hyperlink r:id="rId2">
        <w:r>
          <w:rPr>
            <w:color w:val="007398"/>
            <w:sz w:val="28"/>
            <w:szCs w:val="28"/>
          </w:rPr>
          <w:t>https://doi.org/10.1016/j.tsf.2022.139536</w:t>
        </w:r>
      </w:hyperlink>
      <w:r>
        <w:rPr>
          <w:sz w:val="28"/>
          <w:szCs w:val="28"/>
        </w:rPr>
        <w:t>)</w:t>
      </w:r>
    </w:p>
    <w:p>
      <w:pPr>
        <w:pStyle w:val="Normal1"/>
        <w:numPr>
          <w:ilvl w:val="0"/>
          <w:numId w:val="1"/>
        </w:numPr>
        <w:pBdr/>
        <w:shd w:val="clear" w:fill="FFFFFF"/>
        <w:spacing w:lineRule="auto" w:line="360"/>
        <w:ind w:left="720" w:hanging="360"/>
        <w:jc w:val="both"/>
        <w:rPr>
          <w:sz w:val="28"/>
          <w:szCs w:val="28"/>
        </w:rPr>
      </w:pPr>
      <w:r>
        <w:rPr>
          <w:sz w:val="28"/>
          <w:szCs w:val="28"/>
        </w:rPr>
        <w:t>G. H. Meeten and A. N. North, “Refractive index measurement of absorbing and turbid fluids by reflection near the critical angle” Meas. Sci. Technol. 6(2), 214–221 (1995), DOI: 10.1088/0957-0233/6/2/014.</w:t>
      </w:r>
    </w:p>
    <w:p>
      <w:pPr>
        <w:pStyle w:val="Normal1"/>
        <w:numPr>
          <w:ilvl w:val="0"/>
          <w:numId w:val="1"/>
        </w:numPr>
        <w:pBdr/>
        <w:shd w:val="clear" w:fill="FFFFFF"/>
        <w:spacing w:lineRule="auto" w:line="360"/>
        <w:ind w:left="720" w:hanging="360"/>
        <w:jc w:val="both"/>
        <w:rPr>
          <w:sz w:val="28"/>
          <w:szCs w:val="28"/>
        </w:rPr>
      </w:pPr>
      <w:r>
        <w:rPr>
          <w:sz w:val="28"/>
          <w:szCs w:val="28"/>
        </w:rPr>
        <w:t>A. J. Jääskeläinen, K. E. Peiponen, and J. A. Räty, “On reflectometric measurement of a refractive index of milk” J. Dairy Sci. 84(1), 38–43 (2001), DOI: doi.org/10.3168/jds.S0022-0302(01)74449-9.</w:t>
      </w:r>
    </w:p>
    <w:p>
      <w:pPr>
        <w:pStyle w:val="Normal1"/>
        <w:numPr>
          <w:ilvl w:val="0"/>
          <w:numId w:val="1"/>
        </w:numPr>
        <w:pBdr/>
        <w:shd w:val="clear" w:fill="FFFFFF"/>
        <w:spacing w:lineRule="auto" w:line="360"/>
        <w:ind w:left="720" w:hanging="360"/>
        <w:jc w:val="both"/>
        <w:rPr>
          <w:sz w:val="28"/>
          <w:szCs w:val="28"/>
        </w:rPr>
      </w:pPr>
      <w:r>
        <w:rPr>
          <w:sz w:val="28"/>
          <w:szCs w:val="28"/>
        </w:rPr>
        <w:t>W. R. Calhoun, H. Maeta, A. Combs, L. M. Bali, and S. Bali, “Measurement of the refractive index of highly turbid media” Opt. Lett. 35(8), 1224–1226 (2010).</w:t>
      </w:r>
    </w:p>
    <w:p>
      <w:pPr>
        <w:pStyle w:val="Normal1"/>
        <w:numPr>
          <w:ilvl w:val="0"/>
          <w:numId w:val="1"/>
        </w:numPr>
        <w:pBdr/>
        <w:shd w:val="clear" w:fill="FFFFFF"/>
        <w:spacing w:lineRule="auto" w:line="360"/>
        <w:ind w:left="720" w:hanging="360"/>
        <w:jc w:val="both"/>
        <w:rPr>
          <w:sz w:val="28"/>
          <w:szCs w:val="28"/>
        </w:rPr>
      </w:pPr>
      <w:r>
        <w:rPr>
          <w:sz w:val="28"/>
          <w:szCs w:val="28"/>
        </w:rPr>
        <w:t>W. R. Calhoun, H. Maeta, S. Roy, L. M. Bali, and S. Bali, “Sensitive real-time measurement of the refractive index and attenuation coefficient of milk and milk-cream mixtures,” J. Dairy Sci. 93(8), 3497–3504 (2010).</w:t>
      </w:r>
    </w:p>
    <w:p>
      <w:pPr>
        <w:pStyle w:val="Normal1"/>
        <w:numPr>
          <w:ilvl w:val="0"/>
          <w:numId w:val="1"/>
        </w:numPr>
        <w:pBdr/>
        <w:shd w:val="clear" w:fill="FFFFFF"/>
        <w:spacing w:lineRule="auto" w:line="360"/>
        <w:ind w:left="720" w:hanging="360"/>
        <w:jc w:val="both"/>
        <w:rPr>
          <w:sz w:val="28"/>
          <w:szCs w:val="28"/>
        </w:rPr>
      </w:pPr>
      <w:r>
        <w:rPr>
          <w:sz w:val="28"/>
          <w:szCs w:val="28"/>
        </w:rPr>
        <w:t xml:space="preserve">M. McClimans, C. LaPlante, D. Bonner, and S. Bali, “Real-time differential refractometry without interferometry at a sensitivity level of 10(-6),” Appl. Opt. 45(25), 6477–6486 (2006). </w:t>
      </w:r>
    </w:p>
    <w:p>
      <w:pPr>
        <w:pStyle w:val="Normal1"/>
        <w:numPr>
          <w:ilvl w:val="0"/>
          <w:numId w:val="1"/>
        </w:numPr>
        <w:pBdr/>
        <w:shd w:val="clear" w:fill="FFFFFF"/>
        <w:spacing w:lineRule="auto" w:line="360"/>
        <w:ind w:left="720" w:hanging="360"/>
        <w:jc w:val="both"/>
        <w:rPr>
          <w:sz w:val="28"/>
          <w:szCs w:val="28"/>
        </w:rPr>
      </w:pPr>
      <w:r>
        <w:rPr>
          <w:sz w:val="28"/>
          <w:szCs w:val="28"/>
        </w:rPr>
        <w:t xml:space="preserve">M. H. Chiu, J. Y. Lee, and D. C. Su, “Complex refractive-index measurement based on Fresnel’s equations and the uses of heterodyne interferometry,” Appl. Opt. 38(19), 4047–4052 (1999). </w:t>
      </w:r>
    </w:p>
    <w:p>
      <w:pPr>
        <w:pStyle w:val="Normal1"/>
        <w:numPr>
          <w:ilvl w:val="0"/>
          <w:numId w:val="1"/>
        </w:numPr>
        <w:pBdr/>
        <w:shd w:val="clear" w:fill="FFFFFF"/>
        <w:spacing w:lineRule="auto" w:line="360"/>
        <w:ind w:left="720" w:hanging="360"/>
        <w:jc w:val="both"/>
        <w:rPr>
          <w:sz w:val="28"/>
          <w:szCs w:val="28"/>
        </w:rPr>
      </w:pPr>
      <w:r>
        <w:rPr>
          <w:sz w:val="28"/>
          <w:szCs w:val="28"/>
        </w:rPr>
        <w:t>Стороженко, И. П. Методи рефрактометрії і поляриметрії / І. П. Сторженко, В. А. Тімонюк, Е. Н. Животова. - Харків: Видавництво НФаУ, 2012. – 64 с.</w:t>
      </w:r>
    </w:p>
    <w:p>
      <w:pPr>
        <w:pStyle w:val="Normal1"/>
        <w:numPr>
          <w:ilvl w:val="0"/>
          <w:numId w:val="1"/>
        </w:numPr>
        <w:pBdr/>
        <w:shd w:val="clear" w:fill="FFFFFF"/>
        <w:spacing w:lineRule="auto" w:line="360"/>
        <w:ind w:left="720" w:hanging="360"/>
        <w:jc w:val="both"/>
        <w:rPr>
          <w:sz w:val="28"/>
          <w:szCs w:val="28"/>
        </w:rPr>
      </w:pPr>
      <w:r>
        <w:rPr>
          <w:sz w:val="28"/>
          <w:szCs w:val="28"/>
        </w:rPr>
        <w:t>Sellmeier, W. (1872). “Ueber die durch die Aetherschwingungen erregten Mitschwingungen der Körpertheilchen und deren Rückwirkung auf die ersteren, besonders zur Erklärung der Dispersion und ihrer Anomalien (II. Theil)” (https://zenodo.org/record/1839719). Annalen der Physik und Chemie. 223 (11): 386—403. DOI:10.1002/andp.18722231105 (</w:t>
      </w:r>
      <w:hyperlink r:id="rId3">
        <w:r>
          <w:rPr>
            <w:color w:val="0000FF"/>
            <w:sz w:val="28"/>
            <w:szCs w:val="28"/>
            <w:u w:val="single"/>
          </w:rPr>
          <w:t>https://doi.org/10.1002%2Fandp.18722231105</w:t>
        </w:r>
      </w:hyperlink>
      <w:r>
        <w:rPr>
          <w:sz w:val="28"/>
          <w:szCs w:val="28"/>
        </w:rPr>
        <w:t>).</w:t>
      </w:r>
    </w:p>
    <w:p>
      <w:pPr>
        <w:pStyle w:val="Normal1"/>
        <w:numPr>
          <w:ilvl w:val="0"/>
          <w:numId w:val="1"/>
        </w:numPr>
        <w:pBdr/>
        <w:shd w:val="clear" w:fill="FFFFFF"/>
        <w:spacing w:lineRule="auto" w:line="360"/>
        <w:ind w:left="720" w:hanging="360"/>
        <w:jc w:val="both"/>
        <w:rPr>
          <w:sz w:val="28"/>
          <w:szCs w:val="28"/>
        </w:rPr>
      </w:pPr>
      <w:hyperlink r:id="rId4">
        <w:r>
          <w:rPr>
            <w:sz w:val="28"/>
            <w:szCs w:val="28"/>
          </w:rPr>
          <w:t>T. Skauli</w:t>
        </w:r>
      </w:hyperlink>
      <w:r>
        <w:rPr>
          <w:sz w:val="28"/>
          <w:szCs w:val="28"/>
        </w:rPr>
        <w:t xml:space="preserve">, </w:t>
      </w:r>
      <w:hyperlink r:id="rId5">
        <w:r>
          <w:rPr>
            <w:sz w:val="28"/>
            <w:szCs w:val="28"/>
          </w:rPr>
          <w:t>P. S. Kuo</w:t>
        </w:r>
      </w:hyperlink>
      <w:r>
        <w:rPr>
          <w:sz w:val="28"/>
          <w:szCs w:val="28"/>
        </w:rPr>
        <w:t xml:space="preserve">, </w:t>
      </w:r>
      <w:hyperlink r:id="rId6">
        <w:r>
          <w:rPr>
            <w:sz w:val="28"/>
            <w:szCs w:val="28"/>
          </w:rPr>
          <w:t>K. L. Vodopyanov</w:t>
        </w:r>
      </w:hyperlink>
      <w:r>
        <w:rPr>
          <w:sz w:val="28"/>
          <w:szCs w:val="28"/>
        </w:rPr>
        <w:t xml:space="preserve">, </w:t>
      </w:r>
      <w:hyperlink r:id="rId7">
        <w:r>
          <w:rPr>
            <w:sz w:val="28"/>
            <w:szCs w:val="28"/>
          </w:rPr>
          <w:t>T. J. Pinguet</w:t>
        </w:r>
      </w:hyperlink>
      <w:r>
        <w:rPr>
          <w:sz w:val="28"/>
          <w:szCs w:val="28"/>
        </w:rPr>
        <w:t xml:space="preserve">, </w:t>
      </w:r>
      <w:hyperlink r:id="rId8">
        <w:r>
          <w:rPr>
            <w:sz w:val="28"/>
            <w:szCs w:val="28"/>
          </w:rPr>
          <w:t>O. Levi</w:t>
        </w:r>
      </w:hyperlink>
      <w:r>
        <w:rPr>
          <w:sz w:val="28"/>
          <w:szCs w:val="28"/>
        </w:rPr>
        <w:t xml:space="preserve">, </w:t>
      </w:r>
      <w:hyperlink r:id="rId9">
        <w:r>
          <w:rPr>
            <w:sz w:val="28"/>
            <w:szCs w:val="28"/>
          </w:rPr>
          <w:t>L. A. Eyres</w:t>
        </w:r>
      </w:hyperlink>
      <w:r>
        <w:rPr>
          <w:sz w:val="28"/>
          <w:szCs w:val="28"/>
        </w:rPr>
        <w:t xml:space="preserve">, </w:t>
      </w:r>
      <w:hyperlink r:id="rId10">
        <w:r>
          <w:rPr>
            <w:sz w:val="28"/>
            <w:szCs w:val="28"/>
          </w:rPr>
          <w:t>J. S. Harris</w:t>
        </w:r>
      </w:hyperlink>
      <w:r>
        <w:rPr>
          <w:sz w:val="28"/>
          <w:szCs w:val="28"/>
        </w:rPr>
        <w:t xml:space="preserve">, </w:t>
      </w:r>
      <w:hyperlink r:id="rId11">
        <w:r>
          <w:rPr>
            <w:sz w:val="28"/>
            <w:szCs w:val="28"/>
          </w:rPr>
          <w:t>M. M. Fejer</w:t>
        </w:r>
      </w:hyperlink>
      <w:r>
        <w:rPr>
          <w:sz w:val="28"/>
          <w:szCs w:val="28"/>
        </w:rPr>
        <w:t xml:space="preserve">, </w:t>
      </w:r>
      <w:hyperlink r:id="rId12">
        <w:r>
          <w:rPr>
            <w:sz w:val="28"/>
            <w:szCs w:val="28"/>
          </w:rPr>
          <w:t>B. Gerard</w:t>
        </w:r>
      </w:hyperlink>
      <w:r>
        <w:rPr>
          <w:sz w:val="28"/>
          <w:szCs w:val="28"/>
        </w:rPr>
        <w:t xml:space="preserve">, </w:t>
      </w:r>
      <w:hyperlink r:id="rId13">
        <w:r>
          <w:rPr>
            <w:sz w:val="28"/>
            <w:szCs w:val="28"/>
          </w:rPr>
          <w:t>L. Becouarn</w:t>
        </w:r>
      </w:hyperlink>
      <w:r>
        <w:rPr>
          <w:sz w:val="28"/>
          <w:szCs w:val="28"/>
        </w:rPr>
        <w:t xml:space="preserve">, </w:t>
      </w:r>
      <w:hyperlink r:id="rId14">
        <w:r>
          <w:rPr>
            <w:sz w:val="28"/>
            <w:szCs w:val="28"/>
          </w:rPr>
          <w:t>E. Lallier</w:t>
        </w:r>
      </w:hyperlink>
      <w:r>
        <w:rPr>
          <w:sz w:val="28"/>
          <w:szCs w:val="28"/>
        </w:rPr>
        <w:t xml:space="preserve">. Improved dispersion relations for GaAs and applications to nonlinear optics. </w:t>
      </w:r>
      <w:r>
        <w:rPr>
          <w:i/>
          <w:sz w:val="28"/>
          <w:szCs w:val="28"/>
        </w:rPr>
        <w:t>Journal of Applied Physics</w:t>
      </w:r>
      <w:r>
        <w:rPr>
          <w:sz w:val="28"/>
          <w:szCs w:val="28"/>
        </w:rPr>
        <w:t> 94, 6447–6455 (2003) https://doi.org/10.1063/1.1621740</w:t>
      </w:r>
    </w:p>
    <w:p>
      <w:pPr>
        <w:pStyle w:val="Normal1"/>
        <w:numPr>
          <w:ilvl w:val="0"/>
          <w:numId w:val="1"/>
        </w:numPr>
        <w:pBdr/>
        <w:shd w:val="clear" w:fill="FFFFFF"/>
        <w:spacing w:lineRule="auto" w:line="360"/>
        <w:ind w:left="720" w:hanging="360"/>
        <w:jc w:val="both"/>
        <w:rPr>
          <w:sz w:val="28"/>
          <w:szCs w:val="28"/>
        </w:rPr>
      </w:pPr>
      <w:r>
        <w:rPr>
          <w:sz w:val="28"/>
          <w:szCs w:val="28"/>
        </w:rPr>
        <w:t>G. Iasilli, R. Francischello, P. Lova, S. Silvano, A. Surace, G. Pesce, M. Alloisio, M. Patrini, M. Shimizu, D. Comoretto, A. Pucci “Luminescent solar concentrators: boosted optical efficiency by polymer dielectric mirrors” Mater. Chem. Front., 3 (2019), pp. 429-436.</w:t>
      </w:r>
    </w:p>
    <w:p>
      <w:pPr>
        <w:pStyle w:val="Normal1"/>
        <w:numPr>
          <w:ilvl w:val="0"/>
          <w:numId w:val="1"/>
        </w:numPr>
        <w:pBdr/>
        <w:shd w:val="clear" w:fill="FFFFFF"/>
        <w:spacing w:lineRule="auto" w:line="360"/>
        <w:ind w:left="720" w:hanging="360"/>
        <w:jc w:val="both"/>
        <w:rPr>
          <w:sz w:val="28"/>
          <w:szCs w:val="28"/>
        </w:rPr>
      </w:pPr>
      <w:r>
        <w:rPr>
          <w:sz w:val="28"/>
          <w:szCs w:val="28"/>
        </w:rPr>
        <w:t>H. Yang, C. Huang, X. Li, R. Shi, K. Zhang “Luminescent and photocatalytic properties of cadmium sulfide nanoparticles synthesized via microwave irradiation” Mater. Chem. Phys., 90 (2005), pp. 155-158.</w:t>
      </w:r>
    </w:p>
    <w:p>
      <w:pPr>
        <w:pStyle w:val="Normal1"/>
        <w:numPr>
          <w:ilvl w:val="0"/>
          <w:numId w:val="1"/>
        </w:numPr>
        <w:pBdr/>
        <w:shd w:val="clear" w:fill="FFFFFF"/>
        <w:spacing w:lineRule="auto" w:line="360"/>
        <w:ind w:left="720" w:hanging="360"/>
        <w:jc w:val="both"/>
        <w:rPr>
          <w:sz w:val="28"/>
          <w:szCs w:val="28"/>
        </w:rPr>
      </w:pPr>
      <w:r>
        <w:rPr>
          <w:sz w:val="28"/>
          <w:szCs w:val="28"/>
        </w:rPr>
        <w:t>T. Rajh, O.I. Micic, A.J. Nozik “Synthesis and characterization of surface-modified colloidal cadmium telluride quantum dots” J. Phys. Chem., 97 (1993), pp. 11999-12003.</w:t>
      </w:r>
    </w:p>
    <w:p>
      <w:pPr>
        <w:pStyle w:val="Normal1"/>
        <w:numPr>
          <w:ilvl w:val="0"/>
          <w:numId w:val="1"/>
        </w:numPr>
        <w:pBdr/>
        <w:shd w:val="clear" w:fill="FFFFFF"/>
        <w:spacing w:lineRule="auto" w:line="360"/>
        <w:ind w:left="720" w:hanging="360"/>
        <w:jc w:val="both"/>
        <w:rPr>
          <w:sz w:val="28"/>
          <w:szCs w:val="28"/>
        </w:rPr>
      </w:pPr>
      <w:r>
        <w:rPr>
          <w:sz w:val="28"/>
          <w:szCs w:val="28"/>
        </w:rPr>
        <w:t>W.W. Yu, L. Qu, W. Guo, X. Peng “Experimental determination of the extinction coefficient of CdTe, CdSe, and CdS nanocrystals” Chem. Mater., 15 (2003), pp. 2854-2860.</w:t>
      </w:r>
    </w:p>
    <w:p>
      <w:pPr>
        <w:pStyle w:val="Normal1"/>
        <w:numPr>
          <w:ilvl w:val="0"/>
          <w:numId w:val="1"/>
        </w:numPr>
        <w:pBdr/>
        <w:shd w:val="clear" w:fill="FFFFFF"/>
        <w:spacing w:lineRule="auto" w:line="360"/>
        <w:ind w:left="720" w:hanging="360"/>
        <w:jc w:val="both"/>
        <w:rPr>
          <w:sz w:val="28"/>
          <w:szCs w:val="28"/>
        </w:rPr>
      </w:pPr>
      <w:r>
        <w:rPr>
          <w:sz w:val="28"/>
          <w:szCs w:val="28"/>
        </w:rPr>
        <w:t>L.E. Brus “A simple model for the ionization potential, electron affinity, and aqueous redox potentials of small semiconductor crystallites” J. Chem. Phys., 79 (1983), pp. 5566-5571.</w:t>
      </w:r>
    </w:p>
    <w:p>
      <w:pPr>
        <w:pStyle w:val="Normal1"/>
        <w:numPr>
          <w:ilvl w:val="0"/>
          <w:numId w:val="1"/>
        </w:numPr>
        <w:spacing w:lineRule="auto" w:line="360" w:before="0" w:after="100"/>
        <w:ind w:left="720" w:hanging="360"/>
        <w:jc w:val="both"/>
        <w:rPr>
          <w:sz w:val="28"/>
          <w:szCs w:val="28"/>
        </w:rPr>
      </w:pPr>
      <w:r>
        <w:rPr>
          <w:sz w:val="28"/>
          <w:szCs w:val="28"/>
        </w:rPr>
        <w:t>SPECORD PC 200/205/210/250 UV VIS Spectrophotometer. User's Manual / 2005 Analytik Jena AG, 43 р.</w:t>
      </w:r>
    </w:p>
    <w:p>
      <w:pPr>
        <w:pStyle w:val="Normal"/>
        <w:numPr>
          <w:ilvl w:val="0"/>
          <w:numId w:val="1"/>
        </w:numPr>
        <w:pBdr/>
        <w:shd w:val="clear" w:color="auto" w:fill="FFFFFF"/>
        <w:spacing w:lineRule="auto" w:line="360" w:before="0" w:after="100"/>
        <w:ind w:left="720" w:hanging="360"/>
        <w:jc w:val="both"/>
        <w:rPr>
          <w:sz w:val="28"/>
          <w:szCs w:val="28"/>
        </w:rPr>
      </w:pPr>
      <w:r>
        <w:rPr>
          <w:sz w:val="28"/>
          <w:szCs w:val="28"/>
        </w:rPr>
        <w:t>Mykola O. Semenenko, Ivan S. Babichuk, Oleksandr Kyriienko, Ivan V. Bodnar, Raquel Caballero and Maximo Leon. RF Electromagnetic Field Treatment of Tetragonal Kesterite CZTSSe Light Absorbers. Nanoscale Research Letters (2017) 12:408</w:t>
      </w:r>
      <w:r>
        <w:rPr>
          <w:sz w:val="28"/>
          <w:szCs w:val="28"/>
          <w:lang w:val="en-US"/>
        </w:rPr>
        <w:t xml:space="preserve"> </w:t>
      </w:r>
      <w:r>
        <w:rPr>
          <w:sz w:val="28"/>
          <w:szCs w:val="28"/>
        </w:rPr>
        <w:t>https://doi.org/10.1186/s11671-017-2183-9.</w:t>
      </w:r>
    </w:p>
    <w:sectPr>
      <w:type w:val="nextPage"/>
      <w:pgSz w:w="11906" w:h="16838"/>
      <w:pgMar w:left="1701" w:right="850" w:header="0" w:top="1134" w:footer="0" w:bottom="1134"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uk-UA"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Times New Roman" w:hAnsi="Times New Roman" w:eastAsia="Noto Serif CJK SC" w:cs="Lohit Devanagari"/>
      <w:color w:val="auto"/>
      <w:kern w:val="0"/>
      <w:sz w:val="20"/>
      <w:szCs w:val="20"/>
      <w:lang w:val="uk-UA" w:eastAsia="zh-CN" w:bidi="hi-IN"/>
    </w:rPr>
  </w:style>
  <w:style w:type="paragraph" w:styleId="Heading1">
    <w:name w:val="Heading 1"/>
    <w:basedOn w:val="Normal1"/>
    <w:next w:val="Normal1"/>
    <w:uiPriority w:val="9"/>
    <w:qFormat/>
    <w:pPr>
      <w:keepNext w:val="true"/>
      <w:keepLines/>
      <w:spacing w:before="480" w:after="120"/>
      <w:outlineLvl w:val="0"/>
    </w:pPr>
    <w:rPr>
      <w:b/>
      <w:sz w:val="48"/>
      <w:szCs w:val="48"/>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sz w:val="24"/>
      <w:szCs w:val="24"/>
    </w:rPr>
  </w:style>
  <w:style w:type="paragraph" w:styleId="Heading5">
    <w:name w:val="Heading 5"/>
    <w:basedOn w:val="Normal1"/>
    <w:next w:val="Normal1"/>
    <w:uiPriority w:val="9"/>
    <w:semiHidden/>
    <w:unhideWhenUsed/>
    <w:qFormat/>
    <w:pPr>
      <w:keepNext w:val="true"/>
      <w:keepLines/>
      <w:spacing w:before="220" w:after="40"/>
      <w:outlineLvl w:val="4"/>
    </w:pPr>
    <w:rPr>
      <w:b/>
      <w:sz w:val="22"/>
      <w:szCs w:val="22"/>
    </w:rPr>
  </w:style>
  <w:style w:type="paragraph" w:styleId="Heading6">
    <w:name w:val="Heading 6"/>
    <w:basedOn w:val="Normal1"/>
    <w:next w:val="Normal1"/>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935bb"/>
    <w:rPr>
      <w:color w:val="0000FF" w:themeColor="hyperlink"/>
      <w:u w:val="single"/>
    </w:rPr>
  </w:style>
  <w:style w:type="character" w:styleId="UnresolvedMention">
    <w:name w:val="Unresolved Mention"/>
    <w:basedOn w:val="DefaultParagraphFont"/>
    <w:uiPriority w:val="99"/>
    <w:semiHidden/>
    <w:unhideWhenUsed/>
    <w:qFormat/>
    <w:rsid w:val="006935bb"/>
    <w:rPr>
      <w:color w:val="605E5C"/>
      <w:shd w:fill="E1DFDD" w:val="clear"/>
    </w:rPr>
  </w:style>
  <w:style w:type="character" w:styleId="Alauthordelim" w:customStyle="1">
    <w:name w:val="al-author-delim"/>
    <w:basedOn w:val="DefaultParagraphFont"/>
    <w:qFormat/>
    <w:rsid w:val="00872c36"/>
    <w:rPr/>
  </w:style>
  <w:style w:type="character" w:styleId="Emphasis">
    <w:name w:val="Emphasis"/>
    <w:basedOn w:val="DefaultParagraphFont"/>
    <w:uiPriority w:val="20"/>
    <w:qFormat/>
    <w:rsid w:val="00872c36"/>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0"/>
      <w:szCs w:val="20"/>
      <w:lang w:val="uk-UA"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Normal1"/>
    <w:uiPriority w:val="34"/>
    <w:qFormat/>
    <w:rsid w:val="00872c36"/>
    <w:pPr>
      <w:spacing w:before="0" w:after="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tsf.2022.139536" TargetMode="External"/><Relationship Id="rId3" Type="http://schemas.openxmlformats.org/officeDocument/2006/relationships/hyperlink" Target="https://doi.org/10.1002%2Fandp.18722231105" TargetMode="External"/><Relationship Id="rId4" Type="http://schemas.openxmlformats.org/officeDocument/2006/relationships/hyperlink" Target="about:blank" TargetMode="External"/><Relationship Id="rId5" Type="http://schemas.openxmlformats.org/officeDocument/2006/relationships/hyperlink" Target="about:blank" TargetMode="Externa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hyperlink" Target="about:blank" TargetMode="External"/><Relationship Id="rId12" Type="http://schemas.openxmlformats.org/officeDocument/2006/relationships/hyperlink" Target="about:blank" TargetMode="External"/><Relationship Id="rId13" Type="http://schemas.openxmlformats.org/officeDocument/2006/relationships/hyperlink" Target="about:blank" TargetMode="External"/><Relationship Id="rId14" Type="http://schemas.openxmlformats.org/officeDocument/2006/relationships/hyperlink" Target="about:blank"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jQajOFh1y8eG5xhHFvlI+5SX+3g==">AMUW2mVl6hBr48OMD+3BGqyEYYkrA/uZc8dsNFwBS+gKNGPogAZ8kUnKUa37/eUPLyw/Oq5vKm6uLS/8DlOO6+GtLmDTTJC4ForsMsUj+hZUJDrPLOfZVXA=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534</Words>
  <Characters>3190</Characters>
  <CharactersWithSpaces>3684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2023-04-10T05:37:00Z</dcterms:created>
  <dc:creator/>
  <dc:description/>
  <dc:language>en-US</dc:language>
  <cp:lastModifiedBy/>
  <dcterms:modified xsi:type="dcterms:W3CDTF">2023-05-11T13:22:35Z</dcterms:modified>
  <cp:revision>1</cp:revision>
  <dc:subject/>
  <dc:title/>
</cp:coreProperties>
</file>