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D86" w:rsidRDefault="00820D86" w:rsidP="00820D86">
      <w:pPr>
        <w:pStyle w:val="LO-normal"/>
        <w:spacing w:after="240"/>
        <w:jc w:val="both"/>
        <w:rPr>
          <w:sz w:val="28"/>
          <w:szCs w:val="28"/>
        </w:rPr>
      </w:pPr>
    </w:p>
    <w:p w:rsidR="00820D86" w:rsidRPr="00820D86" w:rsidRDefault="00820D86" w:rsidP="00820D86">
      <w:pPr>
        <w:pStyle w:val="LO-normal"/>
        <w:spacing w:after="240"/>
        <w:jc w:val="center"/>
        <w:rPr>
          <w:sz w:val="28"/>
          <w:szCs w:val="28"/>
          <w:lang w:val="ru-RU"/>
        </w:rPr>
      </w:pPr>
      <w:r>
        <w:rPr>
          <w:sz w:val="28"/>
          <w:szCs w:val="28"/>
        </w:rPr>
        <w:t>2.</w:t>
      </w:r>
      <w:r>
        <w:rPr>
          <w:sz w:val="28"/>
          <w:szCs w:val="28"/>
        </w:rPr>
        <w:tab/>
        <w:t>ОПИС ЦИФРОВОГО ОПТИЧНОГО СПЕКТРОМЕТРА</w:t>
      </w:r>
    </w:p>
    <w:p w:rsidR="00820D86" w:rsidRDefault="00820D86" w:rsidP="00820D86">
      <w:pPr>
        <w:pStyle w:val="LO-normal"/>
        <w:spacing w:after="100" w:line="360" w:lineRule="auto"/>
        <w:jc w:val="both"/>
        <w:rPr>
          <w:sz w:val="28"/>
          <w:szCs w:val="28"/>
        </w:rPr>
      </w:pPr>
      <w:r>
        <w:rPr>
          <w:sz w:val="28"/>
          <w:szCs w:val="28"/>
        </w:rPr>
        <w:t>2.1.</w:t>
      </w:r>
      <w:r>
        <w:rPr>
          <w:sz w:val="28"/>
          <w:szCs w:val="28"/>
        </w:rPr>
        <w:tab/>
        <w:t xml:space="preserve"> Загальні принципи роботи розробленого цифрового оптичного спектрометра для дослідження оптичних властивостей структури напівпровідника</w:t>
      </w:r>
    </w:p>
    <w:p w:rsidR="00820D86" w:rsidRDefault="00820D86" w:rsidP="00820D86">
      <w:pPr>
        <w:pStyle w:val="LO-normal"/>
        <w:spacing w:after="100" w:line="360" w:lineRule="auto"/>
        <w:ind w:firstLine="720"/>
        <w:jc w:val="both"/>
        <w:rPr>
          <w:sz w:val="28"/>
          <w:szCs w:val="28"/>
        </w:rPr>
      </w:pPr>
      <w:r>
        <w:rPr>
          <w:sz w:val="28"/>
          <w:szCs w:val="28"/>
        </w:rPr>
        <w:t>Основна задача магістерської дисертації — розробка цифрового оптичного спектрометра (програмної та апаратної частини), з яким можна буде визначити властивості матеріалу, який досліджується, неруйнівним методом і функції якого будуть відповідати промисловим аналогам.</w:t>
      </w:r>
    </w:p>
    <w:p w:rsidR="00820D86" w:rsidRDefault="00820D86" w:rsidP="00820D86">
      <w:pPr>
        <w:pStyle w:val="LO-normal"/>
        <w:spacing w:after="100" w:line="360" w:lineRule="auto"/>
        <w:ind w:firstLine="720"/>
        <w:jc w:val="both"/>
        <w:rPr>
          <w:sz w:val="28"/>
          <w:szCs w:val="28"/>
        </w:rPr>
      </w:pPr>
      <w:r>
        <w:rPr>
          <w:sz w:val="28"/>
          <w:szCs w:val="28"/>
        </w:rPr>
        <w:t>В рамках дисертаційної роботи  був розроблений концепт, основою якого став оптичний спектрометр, а також додаткове обладнання (тримачі, штативи, регулятори та поляризатори). Схема концепту представлена на рисунку ХХХ.</w:t>
      </w:r>
    </w:p>
    <w:p w:rsidR="00820D86" w:rsidRDefault="00820D86" w:rsidP="00820D86">
      <w:pPr>
        <w:pStyle w:val="LO-normal"/>
        <w:spacing w:after="100" w:line="360" w:lineRule="auto"/>
        <w:ind w:firstLine="720"/>
        <w:jc w:val="both"/>
        <w:rPr>
          <w:sz w:val="28"/>
          <w:szCs w:val="28"/>
        </w:rPr>
      </w:pPr>
      <w:r>
        <w:rPr>
          <w:sz w:val="28"/>
          <w:szCs w:val="28"/>
        </w:rPr>
        <w:t>Світло (2) випромінюється за допомогою лазерного пристрою (1), проходить через поляризатор (3). Поляризоване світло (5) падає на поверхню матеріалу (6), після чого відбитий промінь (7) падає на RGBC сенсор (8) спектрометра (10), який передає дані до персонального комп'ютера (11). На ПК проводяться основні математичні обчислення і визначаються оптичні властивості матеріалу по формулі Зельмеєра, після чого отримані результати порівнюються із табличними даними, які вбудовані в програмне забезпечення. Як результат — визначаємо тип напівпровідникового матеріалу.</w:t>
      </w:r>
    </w:p>
    <w:p w:rsidR="00820D86" w:rsidRDefault="00820D86" w:rsidP="00820D86">
      <w:pPr>
        <w:pStyle w:val="LO-normal"/>
        <w:spacing w:after="100" w:line="360" w:lineRule="auto"/>
        <w:jc w:val="both"/>
        <w:rPr>
          <w:sz w:val="28"/>
          <w:szCs w:val="28"/>
        </w:rPr>
      </w:pPr>
    </w:p>
    <w:tbl>
      <w:tblPr>
        <w:tblW w:w="963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638"/>
      </w:tblGrid>
      <w:tr w:rsidR="00820D86" w:rsidTr="00B011B1">
        <w:tc>
          <w:tcPr>
            <w:tcW w:w="9638" w:type="dxa"/>
            <w:shd w:val="clear" w:color="auto" w:fill="auto"/>
            <w:tcMar>
              <w:top w:w="100" w:type="dxa"/>
              <w:left w:w="100" w:type="dxa"/>
              <w:bottom w:w="100" w:type="dxa"/>
              <w:right w:w="100" w:type="dxa"/>
            </w:tcMar>
          </w:tcPr>
          <w:p w:rsidR="00820D86" w:rsidRDefault="00820D86" w:rsidP="00B011B1">
            <w:pPr>
              <w:pStyle w:val="LO-normal"/>
              <w:spacing w:after="100" w:line="360" w:lineRule="auto"/>
              <w:jc w:val="both"/>
              <w:rPr>
                <w:sz w:val="28"/>
                <w:szCs w:val="28"/>
              </w:rPr>
            </w:pPr>
            <w:commentRangeStart w:id="0"/>
            <w:r>
              <w:rPr>
                <w:noProof/>
                <w:sz w:val="28"/>
                <w:szCs w:val="28"/>
                <w:lang w:val="en-US" w:eastAsia="en-US" w:bidi="ar-SA"/>
              </w:rPr>
              <w:lastRenderedPageBreak/>
              <w:drawing>
                <wp:inline distT="114300" distB="114300" distL="114300" distR="114300" wp14:anchorId="21BD091D" wp14:editId="6C13543B">
                  <wp:extent cx="5972175" cy="406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72175" cy="4064000"/>
                          </a:xfrm>
                          <a:prstGeom prst="rect">
                            <a:avLst/>
                          </a:prstGeom>
                          <a:ln/>
                        </pic:spPr>
                      </pic:pic>
                    </a:graphicData>
                  </a:graphic>
                </wp:inline>
              </w:drawing>
            </w:r>
            <w:commentRangeEnd w:id="0"/>
            <w:r>
              <w:rPr>
                <w:rStyle w:val="CommentReference"/>
                <w:rFonts w:eastAsia="Times New Roman" w:cs="Mangal"/>
              </w:rPr>
              <w:commentReference w:id="0"/>
            </w:r>
          </w:p>
        </w:tc>
      </w:tr>
      <w:tr w:rsidR="00820D86" w:rsidTr="00B011B1">
        <w:tc>
          <w:tcPr>
            <w:tcW w:w="9638"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Рис. ХХХ Схема концепту цифрового оптичного спектрометра</w:t>
            </w:r>
          </w:p>
        </w:tc>
      </w:tr>
    </w:tbl>
    <w:p w:rsidR="00820D86" w:rsidRDefault="00820D86" w:rsidP="00820D86">
      <w:pPr>
        <w:pStyle w:val="LO-normal"/>
        <w:spacing w:after="100" w:line="360" w:lineRule="auto"/>
        <w:jc w:val="both"/>
        <w:rPr>
          <w:sz w:val="28"/>
          <w:szCs w:val="28"/>
        </w:rPr>
      </w:pPr>
    </w:p>
    <w:p w:rsidR="00820D86" w:rsidRDefault="00820D86" w:rsidP="00820D86">
      <w:pPr>
        <w:pStyle w:val="LO-normal"/>
        <w:spacing w:after="100" w:line="360" w:lineRule="auto"/>
        <w:jc w:val="both"/>
        <w:rPr>
          <w:sz w:val="28"/>
          <w:szCs w:val="28"/>
        </w:rPr>
      </w:pPr>
      <w:r>
        <w:rPr>
          <w:sz w:val="28"/>
          <w:szCs w:val="28"/>
        </w:rPr>
        <w:t>2.1.</w:t>
      </w:r>
      <w:r>
        <w:rPr>
          <w:sz w:val="28"/>
          <w:szCs w:val="28"/>
        </w:rPr>
        <w:tab/>
        <w:t xml:space="preserve"> Формула Зельмеєра та її опис</w:t>
      </w:r>
    </w:p>
    <w:p w:rsidR="00820D86" w:rsidRDefault="00820D86" w:rsidP="00820D86">
      <w:pPr>
        <w:pStyle w:val="LO-normal"/>
        <w:spacing w:after="100" w:line="360" w:lineRule="auto"/>
        <w:ind w:firstLine="720"/>
        <w:jc w:val="both"/>
        <w:rPr>
          <w:sz w:val="28"/>
          <w:szCs w:val="28"/>
        </w:rPr>
      </w:pPr>
      <w:r>
        <w:rPr>
          <w:sz w:val="28"/>
          <w:szCs w:val="28"/>
        </w:rPr>
        <w:t>Формула або як її ще називають рівняння Зельмеєра представляє собою емпіричну функцію, яка описує залежність коефіцієнта відбивання від довжини хвилі. Рівняння використовується для визначення дисперсії світла в прозорому середовищі без наявності резонансу і при мінімальному поглинанні. Рівняння вперше було запропоновано в 1872 році Вільгельмом Зельмеєром і являлося розвитком роботи Огюстена Коші. [Sellmeier, W. (1872). “Ueber die durch die Aetherschwingungen erregten Mitschwingungen der Körpertheilchen und deren Rückwirkung auf die ersteren, besonders zur Erklärung der Dispersion und ihrer Anomalien (II. Theil)” (https://zenodo.org/record/1839719). Annalen der Physik und Chemie. 223 (11): 386—403. DOI:10.1002/andp.18722231105 (https://doi.org/10.1002%2Fandp.18722231105).].</w:t>
      </w:r>
    </w:p>
    <w:p w:rsidR="00820D86" w:rsidRDefault="00820D86" w:rsidP="00820D86">
      <w:pPr>
        <w:pStyle w:val="LO-normal"/>
        <w:spacing w:after="100" w:line="360" w:lineRule="auto"/>
        <w:ind w:firstLine="720"/>
        <w:jc w:val="both"/>
        <w:rPr>
          <w:sz w:val="28"/>
          <w:szCs w:val="28"/>
          <w:lang w:val="en-US"/>
        </w:rPr>
      </w:pPr>
      <w:r>
        <w:rPr>
          <w:sz w:val="28"/>
          <w:szCs w:val="28"/>
        </w:rPr>
        <w:t>Рівняння Зельмеєра виглядає:</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755"/>
        <w:gridCol w:w="1883"/>
      </w:tblGrid>
      <w:tr w:rsidR="00820D86" w:rsidTr="00B011B1">
        <w:tc>
          <w:tcPr>
            <w:tcW w:w="7755" w:type="dxa"/>
            <w:shd w:val="clear" w:color="auto" w:fill="auto"/>
            <w:tcMar>
              <w:top w:w="100" w:type="dxa"/>
              <w:left w:w="100" w:type="dxa"/>
              <w:bottom w:w="100" w:type="dxa"/>
              <w:right w:w="100" w:type="dxa"/>
            </w:tcMar>
          </w:tcPr>
          <w:p w:rsidR="00820D86" w:rsidRPr="00820D86" w:rsidRDefault="00820D86" w:rsidP="00820D86">
            <w:pPr>
              <w:pStyle w:val="LO-normal"/>
              <w:spacing w:after="100" w:line="360" w:lineRule="auto"/>
              <w:ind w:firstLine="720"/>
              <w:jc w:val="both"/>
              <w:rPr>
                <w:i/>
                <w:sz w:val="28"/>
                <w:szCs w:val="28"/>
              </w:rPr>
            </w:pPr>
            <m:oMath>
              <m:r>
                <w:rPr>
                  <w:rFonts w:ascii="Cambria Math" w:hAnsi="Cambria Math"/>
                  <w:sz w:val="28"/>
                  <w:szCs w:val="28"/>
                  <w:lang w:val="en-US"/>
                </w:rPr>
                <w:lastRenderedPageBreak/>
                <m:t>n(λ)=</m:t>
              </m:r>
              <m:rad>
                <m:radPr>
                  <m:degHide m:val="1"/>
                  <m:ctrlPr>
                    <w:rPr>
                      <w:rFonts w:ascii="Cambria Math" w:hAnsi="Cambria Math"/>
                      <w:i/>
                      <w:sz w:val="28"/>
                      <w:szCs w:val="28"/>
                      <w:lang w:val="en-US"/>
                    </w:rPr>
                  </m:ctrlPr>
                </m:radPr>
                <m:deg/>
                <m:e>
                  <m:r>
                    <w:rPr>
                      <w:rFonts w:ascii="Cambria Math" w:hAnsi="Cambria Math"/>
                      <w:sz w:val="28"/>
                      <w:szCs w:val="28"/>
                      <w:lang w:val="en-US"/>
                    </w:rPr>
                    <m:t>1+</m:t>
                  </m:r>
                  <m:nary>
                    <m:naryPr>
                      <m:chr m:val="∑"/>
                      <m:limLoc m:val="undOvr"/>
                      <m:ctrlPr>
                        <w:rPr>
                          <w:rFonts w:ascii="Cambria Math" w:hAnsi="Cambria Math"/>
                          <w:i/>
                          <w:sz w:val="28"/>
                          <w:szCs w:val="28"/>
                          <w:lang w:val="en-US"/>
                        </w:rPr>
                      </m:ctrlPr>
                    </m:naryPr>
                    <m:sub>
                      <m:r>
                        <w:rPr>
                          <w:rFonts w:ascii="Cambria Math" w:hAnsi="Cambria Math"/>
                          <w:sz w:val="28"/>
                          <w:szCs w:val="28"/>
                          <w:lang w:val="en-US"/>
                        </w:rPr>
                        <m:t>i=0</m:t>
                      </m:r>
                    </m:sub>
                    <m:sup>
                      <m:r>
                        <w:rPr>
                          <w:rFonts w:ascii="Cambria Math" w:hAnsi="Cambria Math"/>
                          <w:sz w:val="28"/>
                          <w:szCs w:val="28"/>
                          <w:lang w:val="en-US"/>
                        </w:rPr>
                        <m:t>2</m:t>
                      </m:r>
                    </m:sup>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m:t>
                              </m:r>
                            </m:sub>
                          </m:sSub>
                          <m:sSup>
                            <m:sSupPr>
                              <m:ctrlPr>
                                <w:rPr>
                                  <w:rFonts w:ascii="Cambria Math" w:hAnsi="Cambria Math"/>
                                  <w:i/>
                                  <w:sz w:val="28"/>
                                  <w:szCs w:val="28"/>
                                  <w:lang w:val="en-US"/>
                                </w:rPr>
                              </m:ctrlPr>
                            </m:sSupPr>
                            <m:e>
                              <m:r>
                                <w:rPr>
                                  <w:rFonts w:ascii="Cambria Math" w:hAnsi="Cambria Math"/>
                                  <w:sz w:val="28"/>
                                  <w:szCs w:val="28"/>
                                  <w:lang w:val="en-US"/>
                                </w:rPr>
                                <m:t>λ</m:t>
                              </m:r>
                            </m:e>
                            <m:sup>
                              <m:r>
                                <w:rPr>
                                  <w:rFonts w:ascii="Cambria Math" w:hAnsi="Cambria Math"/>
                                  <w:sz w:val="28"/>
                                  <w:szCs w:val="28"/>
                                  <w:lang w:val="en-US"/>
                                </w:rPr>
                                <m:t>2</m:t>
                              </m:r>
                            </m:sup>
                          </m:sSup>
                        </m:num>
                        <m:den>
                          <m:sSup>
                            <m:sSupPr>
                              <m:ctrlPr>
                                <w:rPr>
                                  <w:rFonts w:ascii="Cambria Math" w:hAnsi="Cambria Math"/>
                                  <w:i/>
                                  <w:sz w:val="28"/>
                                  <w:szCs w:val="28"/>
                                  <w:lang w:val="en-US"/>
                                </w:rPr>
                              </m:ctrlPr>
                            </m:sSupPr>
                            <m:e>
                              <m:r>
                                <w:rPr>
                                  <w:rFonts w:ascii="Cambria Math" w:hAnsi="Cambria Math"/>
                                  <w:sz w:val="28"/>
                                  <w:szCs w:val="28"/>
                                  <w:lang w:val="en-US"/>
                                </w:rPr>
                                <m:t>λ</m:t>
                              </m:r>
                            </m:e>
                            <m:sup>
                              <m:r>
                                <w:rPr>
                                  <w:rFonts w:ascii="Cambria Math" w:hAnsi="Cambria Math"/>
                                  <w:sz w:val="28"/>
                                  <w:szCs w:val="28"/>
                                  <w:lang w:val="en-US"/>
                                </w:rPr>
                                <m:t>2</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den>
                      </m:f>
                    </m:e>
                  </m:nary>
                </m:e>
              </m:rad>
            </m:oMath>
            <w:r>
              <w:rPr>
                <w:i/>
                <w:sz w:val="28"/>
                <w:szCs w:val="28"/>
              </w:rPr>
              <w:t>,</w:t>
            </w:r>
          </w:p>
        </w:tc>
        <w:tc>
          <w:tcPr>
            <w:tcW w:w="1883" w:type="dxa"/>
            <w:shd w:val="clear" w:color="auto" w:fill="auto"/>
          </w:tcPr>
          <w:p w:rsidR="00820D86" w:rsidRDefault="00820D86" w:rsidP="00B011B1">
            <w:pPr>
              <w:pStyle w:val="LO-normal"/>
              <w:spacing w:after="100" w:line="360" w:lineRule="auto"/>
              <w:ind w:firstLine="720"/>
              <w:jc w:val="both"/>
              <w:rPr>
                <w:sz w:val="28"/>
                <w:szCs w:val="28"/>
              </w:rPr>
            </w:pPr>
            <w:r>
              <w:rPr>
                <w:sz w:val="28"/>
                <w:szCs w:val="28"/>
              </w:rPr>
              <w:t>(1)</w:t>
            </w:r>
          </w:p>
        </w:tc>
      </w:tr>
    </w:tbl>
    <w:p w:rsidR="00820D86" w:rsidRDefault="00820D86" w:rsidP="00820D86">
      <w:pPr>
        <w:pStyle w:val="LO-normal"/>
        <w:spacing w:after="100" w:line="360" w:lineRule="auto"/>
        <w:jc w:val="both"/>
        <w:rPr>
          <w:sz w:val="28"/>
          <w:szCs w:val="28"/>
        </w:rPr>
      </w:pPr>
      <w:r>
        <w:rPr>
          <w:sz w:val="28"/>
          <w:szCs w:val="28"/>
        </w:rPr>
        <w:t xml:space="preserve">де </w:t>
      </w:r>
      <m:oMath>
        <m:r>
          <w:rPr>
            <w:rFonts w:ascii="Cambria Math" w:hAnsi="Cambria Math"/>
            <w:sz w:val="28"/>
            <w:szCs w:val="28"/>
          </w:rPr>
          <m:t>n</m:t>
        </m:r>
      </m:oMath>
      <w:r>
        <w:rPr>
          <w:sz w:val="28"/>
          <w:szCs w:val="28"/>
        </w:rPr>
        <w:t xml:space="preserve"> - </w:t>
      </w:r>
      <w:r>
        <w:rPr>
          <w:sz w:val="28"/>
          <w:szCs w:val="28"/>
          <w:lang w:val="en-US"/>
        </w:rPr>
        <w:t>refractive</w:t>
      </w:r>
      <w:r w:rsidRPr="00B011B1">
        <w:rPr>
          <w:sz w:val="28"/>
          <w:szCs w:val="28"/>
        </w:rPr>
        <w:t xml:space="preserve"> </w:t>
      </w:r>
      <w:r>
        <w:rPr>
          <w:sz w:val="28"/>
          <w:szCs w:val="28"/>
          <w:lang w:val="en-US"/>
        </w:rPr>
        <w:t>index</w:t>
      </w:r>
      <w:r>
        <w:rPr>
          <w:sz w:val="28"/>
          <w:szCs w:val="28"/>
        </w:rPr>
        <w:t xml:space="preserve">, </w:t>
      </w:r>
      <m:oMath>
        <m:r>
          <w:rPr>
            <w:rFonts w:ascii="Cambria Math" w:hAnsi="Cambria Math"/>
          </w:rPr>
          <m:t>λ</m:t>
        </m:r>
      </m:oMath>
      <w:r>
        <w:rPr>
          <w:sz w:val="28"/>
          <w:szCs w:val="28"/>
        </w:rPr>
        <w:t xml:space="preserve"> - довжина хвилі, а </w:t>
      </w: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m:t>
            </m:r>
          </m:sub>
        </m:sSub>
      </m:oMath>
      <w:r>
        <w:rPr>
          <w:sz w:val="28"/>
          <w:szCs w:val="28"/>
        </w:rPr>
        <w:t xml:space="preserve"> і </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oMath>
      <w:r>
        <w:rPr>
          <w:sz w:val="28"/>
          <w:szCs w:val="28"/>
        </w:rPr>
        <w:t xml:space="preserve"> — експериментально визначені коефіцієнти Зельмеєра. Коефіцієнти С зазвичай вказують в мікрометрах в квадраті.</w:t>
      </w:r>
    </w:p>
    <w:p w:rsidR="00820D86" w:rsidRDefault="00820D86" w:rsidP="00820D86">
      <w:pPr>
        <w:pStyle w:val="LO-normal"/>
        <w:spacing w:after="100" w:line="360" w:lineRule="auto"/>
        <w:ind w:firstLine="720"/>
        <w:jc w:val="both"/>
        <w:rPr>
          <w:sz w:val="28"/>
          <w:szCs w:val="28"/>
        </w:rPr>
      </w:pPr>
      <w:r>
        <w:rPr>
          <w:sz w:val="28"/>
          <w:szCs w:val="28"/>
        </w:rPr>
        <w:t xml:space="preserve">Кожен член суми представляє собою резонанс поглинання з силою </w:t>
      </w: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m:t>
            </m:r>
          </m:sub>
        </m:sSub>
      </m:oMath>
      <w:r>
        <w:rPr>
          <w:sz w:val="28"/>
          <w:szCs w:val="28"/>
        </w:rPr>
        <w:t xml:space="preserve"> на довжині хвилі </w:t>
      </w:r>
      <m:oMath>
        <m:sSup>
          <m:sSupPr>
            <m:ctrlPr>
              <w:rPr>
                <w:rFonts w:ascii="Cambria Math" w:hAnsi="Cambria Math"/>
                <w:sz w:val="28"/>
                <w:szCs w:val="28"/>
              </w:rPr>
            </m:ctrlPr>
          </m:sSupPr>
          <m:e>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1/2</m:t>
            </m:r>
          </m:sup>
        </m:sSup>
      </m:oMath>
      <w:r>
        <w:rPr>
          <w:sz w:val="28"/>
          <w:szCs w:val="28"/>
        </w:rPr>
        <w:t>.</w:t>
      </w:r>
    </w:p>
    <w:p w:rsidR="00820D86" w:rsidRDefault="00820D86" w:rsidP="00820D86">
      <w:pPr>
        <w:pStyle w:val="LO-normal"/>
        <w:spacing w:after="100" w:line="360" w:lineRule="auto"/>
        <w:jc w:val="center"/>
        <w:rPr>
          <w:sz w:val="28"/>
          <w:szCs w:val="28"/>
        </w:rPr>
      </w:pPr>
      <w:r>
        <w:rPr>
          <w:sz w:val="28"/>
          <w:szCs w:val="28"/>
        </w:rPr>
        <w:t>Таблиця 2 — коефіцієнти Зельмеєра для різних матеріалів</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185"/>
        <w:gridCol w:w="1365"/>
        <w:gridCol w:w="1365"/>
        <w:gridCol w:w="1365"/>
        <w:gridCol w:w="1365"/>
        <w:gridCol w:w="1365"/>
      </w:tblGrid>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Матеріал</w:t>
            </w:r>
          </w:p>
        </w:tc>
        <w:tc>
          <w:tcPr>
            <w:tcW w:w="1185" w:type="dxa"/>
            <w:shd w:val="clear" w:color="auto" w:fill="auto"/>
            <w:tcMar>
              <w:top w:w="100" w:type="dxa"/>
              <w:left w:w="100" w:type="dxa"/>
              <w:bottom w:w="100" w:type="dxa"/>
              <w:right w:w="100" w:type="dxa"/>
            </w:tcMar>
          </w:tcPr>
          <w:p w:rsidR="00820D86" w:rsidRDefault="00EE2223" w:rsidP="00B011B1">
            <w:pPr>
              <w:pStyle w:val="LO-normal"/>
              <w:spacing w:after="100"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oMath>
            </m:oMathPara>
          </w:p>
        </w:tc>
        <w:tc>
          <w:tcPr>
            <w:tcW w:w="1365" w:type="dxa"/>
            <w:shd w:val="clear" w:color="auto" w:fill="auto"/>
            <w:tcMar>
              <w:top w:w="100" w:type="dxa"/>
              <w:left w:w="100" w:type="dxa"/>
              <w:bottom w:w="100" w:type="dxa"/>
              <w:right w:w="100" w:type="dxa"/>
            </w:tcMar>
          </w:tcPr>
          <w:p w:rsidR="00820D86" w:rsidRDefault="00EE2223" w:rsidP="00B011B1">
            <w:pPr>
              <w:pStyle w:val="LO-normal"/>
              <w:spacing w:after="100"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m:t>
                    </m:r>
                  </m:sub>
                </m:sSub>
              </m:oMath>
            </m:oMathPara>
          </w:p>
        </w:tc>
        <w:tc>
          <w:tcPr>
            <w:tcW w:w="1365" w:type="dxa"/>
            <w:shd w:val="clear" w:color="auto" w:fill="auto"/>
            <w:tcMar>
              <w:top w:w="100" w:type="dxa"/>
              <w:left w:w="100" w:type="dxa"/>
              <w:bottom w:w="100" w:type="dxa"/>
              <w:right w:w="100" w:type="dxa"/>
            </w:tcMar>
          </w:tcPr>
          <w:p w:rsidR="00820D86" w:rsidRDefault="00EE2223" w:rsidP="00B011B1">
            <w:pPr>
              <w:pStyle w:val="LO-normal"/>
              <w:spacing w:after="100"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3</m:t>
                    </m:r>
                  </m:sub>
                </m:sSub>
              </m:oMath>
            </m:oMathPara>
          </w:p>
        </w:tc>
        <w:tc>
          <w:tcPr>
            <w:tcW w:w="1365" w:type="dxa"/>
            <w:shd w:val="clear" w:color="auto" w:fill="auto"/>
            <w:tcMar>
              <w:top w:w="100" w:type="dxa"/>
              <w:left w:w="100" w:type="dxa"/>
              <w:bottom w:w="100" w:type="dxa"/>
              <w:right w:w="100" w:type="dxa"/>
            </w:tcMar>
          </w:tcPr>
          <w:p w:rsidR="00820D86" w:rsidRDefault="00EE2223" w:rsidP="00B011B1">
            <w:pPr>
              <w:pStyle w:val="LO-normal"/>
              <w:spacing w:after="100"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1</m:t>
                    </m:r>
                  </m:sub>
                </m:sSub>
                <m:sSup>
                  <m:sSupPr>
                    <m:ctrlPr>
                      <w:rPr>
                        <w:rFonts w:ascii="Cambria Math" w:hAnsi="Cambria Math"/>
                        <w:sz w:val="28"/>
                        <w:szCs w:val="28"/>
                      </w:rPr>
                    </m:ctrlPr>
                  </m:sSupPr>
                  <m:e>
                    <m:r>
                      <w:rPr>
                        <w:rFonts w:ascii="Cambria Math" w:hAnsi="Cambria Math"/>
                        <w:sz w:val="28"/>
                        <w:szCs w:val="28"/>
                      </w:rPr>
                      <m:t>мкм</m:t>
                    </m:r>
                  </m:e>
                  <m:sup>
                    <m:r>
                      <w:rPr>
                        <w:rFonts w:ascii="Cambria Math" w:hAnsi="Cambria Math"/>
                        <w:sz w:val="28"/>
                        <w:szCs w:val="28"/>
                      </w:rPr>
                      <m:t>2</m:t>
                    </m:r>
                  </m:sup>
                </m:sSup>
              </m:oMath>
            </m:oMathPara>
          </w:p>
        </w:tc>
        <w:tc>
          <w:tcPr>
            <w:tcW w:w="1365" w:type="dxa"/>
            <w:shd w:val="clear" w:color="auto" w:fill="auto"/>
            <w:tcMar>
              <w:top w:w="100" w:type="dxa"/>
              <w:left w:w="100" w:type="dxa"/>
              <w:bottom w:w="100" w:type="dxa"/>
              <w:right w:w="100" w:type="dxa"/>
            </w:tcMar>
          </w:tcPr>
          <w:p w:rsidR="00820D86" w:rsidRDefault="00EE2223" w:rsidP="00B011B1">
            <w:pPr>
              <w:pStyle w:val="LO-normal"/>
              <w:spacing w:after="100"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2</m:t>
                    </m:r>
                  </m:sub>
                </m:sSub>
                <m:sSup>
                  <m:sSupPr>
                    <m:ctrlPr>
                      <w:rPr>
                        <w:rFonts w:ascii="Cambria Math" w:hAnsi="Cambria Math"/>
                        <w:sz w:val="28"/>
                        <w:szCs w:val="28"/>
                      </w:rPr>
                    </m:ctrlPr>
                  </m:sSupPr>
                  <m:e>
                    <m:r>
                      <w:rPr>
                        <w:rFonts w:ascii="Cambria Math" w:hAnsi="Cambria Math"/>
                        <w:sz w:val="28"/>
                        <w:szCs w:val="28"/>
                      </w:rPr>
                      <m:t>мкм</m:t>
                    </m:r>
                  </m:e>
                  <m:sup>
                    <m:r>
                      <w:rPr>
                        <w:rFonts w:ascii="Cambria Math" w:hAnsi="Cambria Math"/>
                        <w:sz w:val="28"/>
                        <w:szCs w:val="28"/>
                      </w:rPr>
                      <m:t>2</m:t>
                    </m:r>
                  </m:sup>
                </m:sSup>
              </m:oMath>
            </m:oMathPara>
          </w:p>
        </w:tc>
        <w:tc>
          <w:tcPr>
            <w:tcW w:w="1365" w:type="dxa"/>
            <w:shd w:val="clear" w:color="auto" w:fill="auto"/>
            <w:tcMar>
              <w:top w:w="100" w:type="dxa"/>
              <w:left w:w="100" w:type="dxa"/>
              <w:bottom w:w="100" w:type="dxa"/>
              <w:right w:w="100" w:type="dxa"/>
            </w:tcMar>
          </w:tcPr>
          <w:p w:rsidR="00820D86" w:rsidRDefault="00EE2223" w:rsidP="00B011B1">
            <w:pPr>
              <w:pStyle w:val="LO-normal"/>
              <w:spacing w:after="100"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3</m:t>
                    </m:r>
                  </m:sub>
                </m:sSub>
                <m:sSup>
                  <m:sSupPr>
                    <m:ctrlPr>
                      <w:rPr>
                        <w:rFonts w:ascii="Cambria Math" w:hAnsi="Cambria Math"/>
                        <w:sz w:val="28"/>
                        <w:szCs w:val="28"/>
                      </w:rPr>
                    </m:ctrlPr>
                  </m:sSupPr>
                  <m:e>
                    <m:r>
                      <w:rPr>
                        <w:rFonts w:ascii="Cambria Math" w:hAnsi="Cambria Math"/>
                        <w:sz w:val="28"/>
                        <w:szCs w:val="28"/>
                      </w:rPr>
                      <m:t>мкм</m:t>
                    </m:r>
                  </m:e>
                  <m:sup>
                    <m:r>
                      <w:rPr>
                        <w:rFonts w:ascii="Cambria Math" w:hAnsi="Cambria Math"/>
                        <w:sz w:val="28"/>
                        <w:szCs w:val="28"/>
                      </w:rPr>
                      <m:t>2</m:t>
                    </m:r>
                  </m:sup>
                </m:sSup>
              </m:oMath>
            </m:oMathPara>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Скло (крон)</w:t>
            </w: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1.03961212</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0.231792344</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1.01046945</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6.00069867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2.00179144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-2</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103.560653</w:t>
            </w:r>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Сапфір (для звичайної хвилі)</w:t>
            </w: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1.43134930</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0.65054713</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5.3414021</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5.2799261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1.42382647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-2</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325.017834</w:t>
            </w:r>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Сапфір (для не звичайної хвилі)</w:t>
            </w: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1.5039759</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0.55069141</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6.5927379</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5.48041129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1.47994281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-2</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402.89514</w:t>
            </w:r>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Плавлений кварц</w:t>
            </w: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0.696166300</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0.407942600</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0.897479400</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4.67914826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 xml:space="preserve">1.35120631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-2</m:t>
                  </m:r>
                </m:sup>
              </m:sSup>
            </m:oMath>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97.9340025</w:t>
            </w:r>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Фторид магнію</w:t>
            </w: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0.48755108</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0.39875031</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2.3120353</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0.001882178</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0.008951888</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566,13559</w:t>
            </w:r>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Силікон</w:t>
            </w: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10.6684293</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0.0030434748</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1.54133408</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0.0909121907</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1.28766018</w:t>
            </w: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r>
              <w:rPr>
                <w:sz w:val="28"/>
                <w:szCs w:val="28"/>
              </w:rPr>
              <w:t>1,218,816</w:t>
            </w:r>
          </w:p>
        </w:tc>
      </w:tr>
      <w:tr w:rsidR="00820D86" w:rsidTr="00B011B1">
        <w:tc>
          <w:tcPr>
            <w:tcW w:w="154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c>
          <w:tcPr>
            <w:tcW w:w="118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c>
          <w:tcPr>
            <w:tcW w:w="1365" w:type="dxa"/>
            <w:shd w:val="clear" w:color="auto" w:fill="auto"/>
            <w:tcMar>
              <w:top w:w="100" w:type="dxa"/>
              <w:left w:w="100" w:type="dxa"/>
              <w:bottom w:w="100" w:type="dxa"/>
              <w:right w:w="100" w:type="dxa"/>
            </w:tcMar>
          </w:tcPr>
          <w:p w:rsidR="00820D86" w:rsidRDefault="00820D86" w:rsidP="00B011B1">
            <w:pPr>
              <w:pStyle w:val="LO-normal"/>
              <w:widowControl w:val="0"/>
              <w:jc w:val="center"/>
              <w:rPr>
                <w:sz w:val="28"/>
                <w:szCs w:val="28"/>
              </w:rPr>
            </w:pPr>
          </w:p>
        </w:tc>
      </w:tr>
    </w:tbl>
    <w:p w:rsidR="00820D86" w:rsidRDefault="00820D86" w:rsidP="00820D86">
      <w:pPr>
        <w:pStyle w:val="LO-normal"/>
        <w:spacing w:after="100" w:line="360" w:lineRule="auto"/>
        <w:jc w:val="both"/>
        <w:rPr>
          <w:sz w:val="28"/>
          <w:szCs w:val="28"/>
        </w:rPr>
      </w:pPr>
    </w:p>
    <w:p w:rsidR="00820D86" w:rsidRDefault="00820D86" w:rsidP="00820D86">
      <w:pPr>
        <w:pStyle w:val="LO-normal"/>
        <w:spacing w:after="100" w:line="360" w:lineRule="auto"/>
        <w:jc w:val="both"/>
        <w:rPr>
          <w:sz w:val="28"/>
          <w:szCs w:val="28"/>
        </w:rPr>
      </w:pPr>
      <w:r>
        <w:rPr>
          <w:sz w:val="28"/>
          <w:szCs w:val="28"/>
        </w:rPr>
        <w:t>2.4 Математика</w:t>
      </w:r>
    </w:p>
    <w:p w:rsidR="00820D86" w:rsidRDefault="00820D86" w:rsidP="00820D86">
      <w:pPr>
        <w:pStyle w:val="LO-normal"/>
        <w:spacing w:after="100" w:line="360" w:lineRule="auto"/>
        <w:jc w:val="both"/>
        <w:rPr>
          <w:sz w:val="28"/>
          <w:szCs w:val="28"/>
          <w:lang w:val="en-US"/>
        </w:rPr>
      </w:pPr>
    </w:p>
    <w:p w:rsidR="008A2319" w:rsidRDefault="008A2319" w:rsidP="008A2319">
      <w:pPr>
        <w:rPr>
          <w:bCs/>
        </w:rPr>
      </w:pPr>
    </w:p>
    <w:p w:rsidR="008A2319" w:rsidRDefault="008A2319" w:rsidP="008A2319">
      <w:pPr>
        <w:rPr>
          <w:bCs/>
        </w:rPr>
      </w:pPr>
    </w:p>
    <w:p w:rsidR="008A2319" w:rsidRDefault="008A2319" w:rsidP="008A2319">
      <w:pPr>
        <w:rPr>
          <w:bCs/>
        </w:rPr>
      </w:pPr>
      <w:r>
        <w:rPr>
          <w:bCs/>
        </w:rPr>
        <w:t>З отриманих спектрів відбивання в усьому оптичному діапазоні було визначено оптичні та псевдооптичні константи досліджуваних структур. Для цього скористаємося комплексним аналізом.</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14"/>
                <w:lang w:eastAsia="ru-RU"/>
              </w:rPr>
              <w:object w:dxaOrig="4515"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pt;height:24.2pt" o:ole="">
                  <v:imagedata r:id="rId9" o:title=""/>
                </v:shape>
                <o:OLEObject Type="Embed" ProgID="Equation.3" ShapeID="_x0000_i1025" DrawAspect="Content" ObjectID="_1744661776" r:id="rId10"/>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Default="008A2319" w:rsidP="008A2319">
      <w:pPr>
        <w:rPr>
          <w:bCs/>
          <w:lang w:eastAsia="ru-RU"/>
        </w:rPr>
      </w:pPr>
      <w:r>
        <w:rPr>
          <w:bCs/>
        </w:rPr>
        <w:t>Запис комплексного числа представлений у формах: Ейлера, тригонометричній та алгебраїчній.</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14"/>
                <w:lang w:eastAsia="ru-RU"/>
              </w:rPr>
              <w:object w:dxaOrig="4755" w:dyaOrig="540">
                <v:shape id="_x0000_i1026" type="#_x0000_t75" style="width:237.8pt;height:27.25pt" o:ole="">
                  <v:imagedata r:id="rId11" o:title=""/>
                </v:shape>
                <o:OLEObject Type="Embed" ProgID="Equation.3" ShapeID="_x0000_i1026" DrawAspect="Content" ObjectID="_1744661777" r:id="rId12"/>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Default="008A2319" w:rsidP="008A2319">
      <w:pPr>
        <w:rPr>
          <w:bCs/>
          <w:lang w:val="en-US" w:eastAsia="ru-RU"/>
        </w:rPr>
      </w:pP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186"/>
                <w:lang w:eastAsia="ru-RU"/>
              </w:rPr>
              <w:object w:dxaOrig="6975" w:dyaOrig="4560">
                <v:shape id="_x0000_i1027" type="#_x0000_t75" style="width:348.5pt;height:228.1pt" o:ole="">
                  <v:imagedata r:id="rId13" o:title=""/>
                </v:shape>
                <o:OLEObject Type="Embed" ProgID="Equation.3" ShapeID="_x0000_i1027" DrawAspect="Content" ObjectID="_1744661778" r:id="rId14"/>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Default="008A2319" w:rsidP="008A2319">
      <w:pPr>
        <w:rPr>
          <w:lang w:val="ru-RU" w:eastAsia="ru-RU"/>
        </w:rPr>
      </w:pPr>
      <w:r>
        <w:rPr>
          <w:bCs/>
        </w:rPr>
        <w:t>Рівняння Френеля для комплексного коефіцієнту відбиття при нормальному падінні світла запишемо у наступному вигляді</w:t>
      </w:r>
      <w:r>
        <w:t>:</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32"/>
                <w:lang w:eastAsia="ru-RU"/>
              </w:rPr>
              <w:object w:dxaOrig="7185" w:dyaOrig="900">
                <v:shape id="_x0000_i1028" type="#_x0000_t75" style="width:359.4pt;height:44.75pt" o:ole="">
                  <v:imagedata r:id="rId15" o:title=""/>
                </v:shape>
                <o:OLEObject Type="Embed" ProgID="Equation.3" ShapeID="_x0000_i1028" DrawAspect="Content" ObjectID="_1744661779" r:id="rId16"/>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Default="008A2319" w:rsidP="008A2319">
      <w:pPr>
        <w:rPr>
          <w:lang w:eastAsia="ru-RU"/>
        </w:rPr>
      </w:pPr>
      <w:r>
        <w:t>де</w:t>
      </w:r>
      <w:r w:rsidRPr="008A2319">
        <w:rPr>
          <w:lang w:val="en-US"/>
        </w:rPr>
        <w:t xml:space="preserve">, </w:t>
      </w:r>
      <w:r>
        <w:rPr>
          <w:position w:val="-10"/>
          <w:lang w:eastAsia="ru-RU"/>
        </w:rPr>
        <w:object w:dxaOrig="2250" w:dyaOrig="435">
          <v:shape id="_x0000_i1029" type="#_x0000_t75" style="width:112.55pt;height:21.8pt" o:ole="">
            <v:imagedata r:id="rId17" o:title=""/>
          </v:shape>
          <o:OLEObject Type="Embed" ProgID="Equation.3" ShapeID="_x0000_i1029" DrawAspect="Content" ObjectID="_1744661780" r:id="rId18"/>
        </w:object>
      </w:r>
      <w:r>
        <w:t xml:space="preserve"> – комплексний показник заломлення; </w:t>
      </w:r>
      <w:r>
        <w:rPr>
          <w:i/>
          <w:lang w:val="en-GB"/>
        </w:rPr>
        <w:t>n</w:t>
      </w:r>
      <w:r>
        <w:rPr>
          <w:i/>
        </w:rPr>
        <w:t xml:space="preserve">, </w:t>
      </w:r>
      <w:r>
        <w:rPr>
          <w:i/>
          <w:lang w:val="en-GB"/>
        </w:rPr>
        <w:t>k</w:t>
      </w:r>
      <w:r>
        <w:t xml:space="preserve"> – дійсна та уявна його складові, модуль комплексного числа дорівнює кореню інтенсивності відбитого світла:</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14"/>
                <w:lang w:eastAsia="ru-RU"/>
              </w:rPr>
              <w:object w:dxaOrig="2280" w:dyaOrig="540">
                <v:shape id="_x0000_i1030" type="#_x0000_t75" style="width:113.75pt;height:27.25pt" o:ole="">
                  <v:imagedata r:id="rId19" o:title=""/>
                </v:shape>
                <o:OLEObject Type="Embed" ProgID="Equation.3" ShapeID="_x0000_i1030" DrawAspect="Content" ObjectID="_1744661781" r:id="rId20"/>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Pr="008A2319" w:rsidRDefault="008A2319" w:rsidP="008A2319">
      <w:pPr>
        <w:rPr>
          <w:lang w:val="ru-RU" w:eastAsia="ru-RU"/>
        </w:rPr>
      </w:pPr>
      <w:r>
        <w:t xml:space="preserve">Домноживши </w:t>
      </w:r>
      <w:r>
        <w:rPr>
          <w:position w:val="-10"/>
          <w:lang w:eastAsia="ru-RU"/>
        </w:rPr>
        <w:object w:dxaOrig="615" w:dyaOrig="375">
          <v:shape id="_x0000_i1031" type="#_x0000_t75" style="width:30.85pt;height:18.75pt" o:ole="">
            <v:imagedata r:id="rId21" o:title=""/>
          </v:shape>
          <o:OLEObject Type="Embed" ProgID="Equation.3" ShapeID="_x0000_i1031" DrawAspect="Content" ObjectID="_1744661782" r:id="rId22"/>
        </w:object>
      </w:r>
      <w:r>
        <w:t xml:space="preserve">на комплексно спряжене число </w:t>
      </w:r>
      <w:r>
        <w:rPr>
          <w:position w:val="-10"/>
          <w:lang w:eastAsia="ru-RU"/>
        </w:rPr>
        <w:object w:dxaOrig="720" w:dyaOrig="420">
          <v:shape id="_x0000_i1032" type="#_x0000_t75" style="width:36.3pt;height:21.2pt" o:ole="">
            <v:imagedata r:id="rId23" o:title=""/>
          </v:shape>
          <o:OLEObject Type="Embed" ProgID="Equation.3" ShapeID="_x0000_i1032" DrawAspect="Content" ObjectID="_1744661783" r:id="rId24"/>
        </w:object>
      </w:r>
      <w:r>
        <w:t xml:space="preserve"> позбудемося комплексності виразу.</w:t>
      </w:r>
    </w:p>
    <w:p w:rsidR="008A2319" w:rsidRPr="008A2319" w:rsidRDefault="008A2319" w:rsidP="008A2319">
      <w:pPr>
        <w:rPr>
          <w:lang w:val="ru-RU"/>
        </w:rPr>
      </w:pPr>
    </w:p>
    <w:p w:rsidR="008A2319" w:rsidRDefault="008A2319" w:rsidP="008A2319">
      <w:r>
        <w:t>Для виділення дійсної і уявної частини комплексного відбивання рівняння Френеля зручно представляти в алгебраїчній формі:</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30"/>
                <w:lang w:eastAsia="ru-RU"/>
              </w:rPr>
              <w:object w:dxaOrig="4980" w:dyaOrig="885">
                <v:shape id="_x0000_i1033" type="#_x0000_t75" style="width:249.3pt;height:44.15pt" o:ole="">
                  <v:imagedata r:id="rId25" o:title=""/>
                </v:shape>
                <o:OLEObject Type="Embed" ProgID="Equation.3" ShapeID="_x0000_i1033" DrawAspect="Content" ObjectID="_1744661784" r:id="rId26"/>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Default="008A2319" w:rsidP="008A2319">
      <w:pPr>
        <w:rPr>
          <w:lang w:val="en-US" w:eastAsia="ru-RU"/>
        </w:rPr>
      </w:pP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eastAsia="ru-RU"/>
              </w:rPr>
            </w:pPr>
            <w:r>
              <w:rPr>
                <w:position w:val="-140"/>
                <w:lang w:eastAsia="ru-RU"/>
              </w:rPr>
              <w:object w:dxaOrig="3285" w:dyaOrig="3465">
                <v:shape id="_x0000_i1034" type="#_x0000_t75" style="width:163.95pt;height:173.05pt" o:ole="">
                  <v:imagedata r:id="rId27" o:title=""/>
                </v:shape>
                <o:OLEObject Type="Embed" ProgID="Equation.3" ShapeID="_x0000_i1034" DrawAspect="Content" ObjectID="_1744661785" r:id="rId28"/>
              </w:objec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GB"/>
              </w:rPr>
              <w:t>12)</w:t>
            </w:r>
          </w:p>
        </w:tc>
      </w:tr>
    </w:tbl>
    <w:p w:rsidR="008A2319" w:rsidRDefault="008A2319" w:rsidP="008A2319">
      <w:pPr>
        <w:rPr>
          <w:lang w:val="ru-RU" w:eastAsia="ru-RU"/>
        </w:rPr>
      </w:pPr>
      <w:r>
        <w:t xml:space="preserve">Оскільки вимірювання проводяться в повітрі, то </w:t>
      </w:r>
      <w:r>
        <w:rPr>
          <w:i/>
          <w:lang w:val="en-GB"/>
        </w:rPr>
        <w:t>n</w:t>
      </w:r>
      <w:r>
        <w:rPr>
          <w:vertAlign w:val="subscript"/>
        </w:rPr>
        <w:t>0</w:t>
      </w:r>
      <w:r>
        <w:t>=1 і рівняння спрощується:</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val="en-GB" w:eastAsia="ru-RU"/>
              </w:rPr>
            </w:pPr>
            <w:r>
              <w:rPr>
                <w:position w:val="-30"/>
                <w:lang w:eastAsia="ru-RU"/>
              </w:rPr>
              <w:object w:dxaOrig="4005" w:dyaOrig="885">
                <v:shape id="_x0000_i1035" type="#_x0000_t75" style="width:200.25pt;height:44.15pt" o:ole="">
                  <v:imagedata r:id="rId29" o:title=""/>
                </v:shape>
                <o:OLEObject Type="Embed" ProgID="Equation.3" ShapeID="_x0000_i1035" DrawAspect="Content" ObjectID="_1744661786" r:id="rId30"/>
              </w:object>
            </w:r>
            <w:r>
              <w:rPr>
                <w:lang w:val="en-GB"/>
              </w:rP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US"/>
              </w:rPr>
              <w:t>13</w:t>
            </w:r>
            <w:r>
              <w:rPr>
                <w:lang w:val="en-GB"/>
              </w:rPr>
              <w:t>)</w:t>
            </w:r>
          </w:p>
        </w:tc>
      </w:tr>
    </w:tbl>
    <w:p w:rsidR="008A2319" w:rsidRDefault="008A2319" w:rsidP="008A2319">
      <w:pPr>
        <w:rPr>
          <w:bCs/>
          <w:lang w:val="ru-RU" w:eastAsia="ru-RU"/>
        </w:rPr>
      </w:pPr>
      <w:r>
        <w:rPr>
          <w:bCs/>
        </w:rPr>
        <w:t>Застосувавши процедуру логарифмування, представимо вираз (</w:t>
      </w:r>
      <w:r>
        <w:rPr>
          <w:bCs/>
          <w:lang w:val="ru-RU"/>
        </w:rPr>
        <w:t>2</w:t>
      </w:r>
      <w:r>
        <w:rPr>
          <w:bCs/>
        </w:rPr>
        <w:t>.1</w:t>
      </w:r>
      <w:r>
        <w:rPr>
          <w:bCs/>
          <w:lang w:val="ru-RU"/>
        </w:rPr>
        <w:t>2</w:t>
      </w:r>
      <w:r>
        <w:rPr>
          <w:bCs/>
        </w:rPr>
        <w:t>) в алгебраїчній формі:</w:t>
      </w:r>
    </w:p>
    <w:tbl>
      <w:tblPr>
        <w:tblW w:w="0" w:type="auto"/>
        <w:tblLook w:val="01E0" w:firstRow="1" w:lastRow="1" w:firstColumn="1" w:lastColumn="1" w:noHBand="0" w:noVBand="0"/>
      </w:tblPr>
      <w:tblGrid>
        <w:gridCol w:w="8326"/>
        <w:gridCol w:w="1244"/>
      </w:tblGrid>
      <w:tr w:rsidR="008A2319" w:rsidTr="008A2319">
        <w:tc>
          <w:tcPr>
            <w:tcW w:w="8326" w:type="dxa"/>
            <w:hideMark/>
          </w:tcPr>
          <w:p w:rsidR="008A2319" w:rsidRDefault="008A2319">
            <w:pPr>
              <w:widowControl w:val="0"/>
              <w:ind w:firstLine="709"/>
              <w:jc w:val="center"/>
              <w:rPr>
                <w:lang w:eastAsia="ru-RU"/>
              </w:rPr>
            </w:pPr>
            <w:r>
              <w:rPr>
                <w:position w:val="-12"/>
                <w:lang w:eastAsia="ru-RU"/>
              </w:rPr>
              <w:object w:dxaOrig="2910" w:dyaOrig="495">
                <v:shape id="_x0000_i1036" type="#_x0000_t75" style="width:145.2pt;height:24.8pt" o:ole="">
                  <v:imagedata r:id="rId31" o:title=""/>
                </v:shape>
                <o:OLEObject Type="Embed" ProgID="Equation.3" ShapeID="_x0000_i1036" DrawAspect="Content" ObjectID="_1744661787" r:id="rId32"/>
              </w:object>
            </w:r>
            <w:r>
              <w:t>.</w:t>
            </w:r>
          </w:p>
        </w:tc>
        <w:tc>
          <w:tcPr>
            <w:tcW w:w="1244" w:type="dxa"/>
            <w:vAlign w:val="center"/>
            <w:hideMark/>
          </w:tcPr>
          <w:p w:rsidR="008A2319" w:rsidRDefault="008A2319">
            <w:pPr>
              <w:widowControl w:val="0"/>
              <w:jc w:val="both"/>
              <w:rPr>
                <w:lang w:val="en-GB" w:eastAsia="ru-RU"/>
              </w:rPr>
            </w:pPr>
            <w:r>
              <w:rPr>
                <w:lang w:val="en-GB"/>
              </w:rPr>
              <w:t>(</w:t>
            </w:r>
            <w:r>
              <w:rPr>
                <w:lang w:val="en-US"/>
              </w:rPr>
              <w:t>2</w:t>
            </w:r>
            <w:r>
              <w:t>.</w:t>
            </w:r>
            <w:r>
              <w:rPr>
                <w:lang w:val="en-US"/>
              </w:rPr>
              <w:t>14</w:t>
            </w:r>
            <w:r>
              <w:rPr>
                <w:lang w:val="en-GB"/>
              </w:rPr>
              <w:t>)</w:t>
            </w:r>
          </w:p>
        </w:tc>
      </w:tr>
    </w:tbl>
    <w:p w:rsidR="008A2319" w:rsidRDefault="008A2319" w:rsidP="008A2319">
      <w:pPr>
        <w:rPr>
          <w:bCs/>
          <w:lang w:val="ru-RU" w:eastAsia="ru-RU"/>
        </w:rPr>
      </w:pPr>
      <w:r>
        <w:t xml:space="preserve">В цьому випадку, фазова компонента </w:t>
      </w:r>
      <w:r>
        <w:rPr>
          <w:bCs/>
          <w:i/>
          <w:lang w:val="en-GB"/>
        </w:rPr>
        <w:sym w:font="Symbol" w:char="F071"/>
      </w:r>
      <w:r>
        <w:rPr>
          <w:bCs/>
        </w:rPr>
        <w:t xml:space="preserve"> може бути обрахована за допомогою перетворення Крамерса-Кроніга </w:t>
      </w:r>
      <w:r>
        <w:t>[99]</w:t>
      </w:r>
      <w:r>
        <w:rPr>
          <w:bCs/>
        </w:rPr>
        <w:t>:</w:t>
      </w:r>
    </w:p>
    <w:tbl>
      <w:tblPr>
        <w:tblW w:w="0" w:type="auto"/>
        <w:tblLook w:val="01E0" w:firstRow="1" w:lastRow="1" w:firstColumn="1" w:lastColumn="1" w:noHBand="0" w:noVBand="0"/>
      </w:tblPr>
      <w:tblGrid>
        <w:gridCol w:w="8315"/>
        <w:gridCol w:w="1255"/>
      </w:tblGrid>
      <w:tr w:rsidR="008A2319" w:rsidTr="008A2319">
        <w:tc>
          <w:tcPr>
            <w:tcW w:w="8315" w:type="dxa"/>
            <w:hideMark/>
          </w:tcPr>
          <w:p w:rsidR="008A2319" w:rsidRDefault="008A2319">
            <w:pPr>
              <w:widowControl w:val="0"/>
              <w:ind w:firstLine="709"/>
              <w:jc w:val="center"/>
              <w:rPr>
                <w:lang w:eastAsia="ru-RU"/>
              </w:rPr>
            </w:pPr>
            <w:r>
              <w:rPr>
                <w:position w:val="-32"/>
                <w:lang w:eastAsia="ru-RU"/>
              </w:rPr>
              <w:object w:dxaOrig="4290" w:dyaOrig="975">
                <v:shape id="_x0000_i1037" type="#_x0000_t75" style="width:214.8pt;height:49pt" o:ole="">
                  <v:imagedata r:id="rId33" o:title=""/>
                </v:shape>
                <o:OLEObject Type="Embed" ProgID="Equation.3" ShapeID="_x0000_i1037" DrawAspect="Content" ObjectID="_1744661788" r:id="rId34"/>
              </w:object>
            </w:r>
          </w:p>
        </w:tc>
        <w:tc>
          <w:tcPr>
            <w:tcW w:w="1255" w:type="dxa"/>
            <w:vAlign w:val="center"/>
            <w:hideMark/>
          </w:tcPr>
          <w:p w:rsidR="008A2319" w:rsidRDefault="008A2319">
            <w:pPr>
              <w:widowControl w:val="0"/>
              <w:jc w:val="both"/>
              <w:rPr>
                <w:lang w:val="en-GB" w:eastAsia="ru-RU"/>
              </w:rPr>
            </w:pPr>
            <w:r>
              <w:rPr>
                <w:lang w:val="en-GB"/>
              </w:rPr>
              <w:t>(</w:t>
            </w:r>
            <w:r>
              <w:rPr>
                <w:lang w:val="en-US"/>
              </w:rPr>
              <w:t>2</w:t>
            </w:r>
            <w:r>
              <w:t>.</w:t>
            </w:r>
            <w:r>
              <w:rPr>
                <w:lang w:val="en-US"/>
              </w:rPr>
              <w:t>15</w:t>
            </w:r>
            <w:r>
              <w:rPr>
                <w:lang w:val="en-GB"/>
              </w:rPr>
              <w:t>)</w:t>
            </w:r>
          </w:p>
        </w:tc>
      </w:tr>
    </w:tbl>
    <w:p w:rsidR="008A2319" w:rsidRDefault="008A2319" w:rsidP="008A2319">
      <w:pPr>
        <w:rPr>
          <w:bCs/>
        </w:rPr>
      </w:pPr>
    </w:p>
    <w:p w:rsidR="008A2319" w:rsidRDefault="008427C0" w:rsidP="008A2319">
      <w:pPr>
        <w:rPr>
          <w:bCs/>
        </w:rPr>
      </w:pPr>
      <w:r>
        <w:rPr>
          <w:bCs/>
        </w:rPr>
        <w:t>Для розрахунку фази використовувався наступний алгоритм чисельного інтегрування методом Трапецій.</w:t>
      </w:r>
    </w:p>
    <w:p w:rsidR="008A2319" w:rsidRDefault="008A2319" w:rsidP="008A2319">
      <w:pPr>
        <w:rPr>
          <w:bCs/>
        </w:rPr>
      </w:pPr>
    </w:p>
    <w:p w:rsidR="008427C0" w:rsidRPr="008427C0" w:rsidRDefault="008427C0" w:rsidP="008427C0">
      <w:pPr>
        <w:framePr w:w="6075" w:h="3975" w:wrap="auto" w:vAnchor="text" w:hAnchor="text" w:x="81" w:y="1"/>
        <w:autoSpaceDE w:val="0"/>
        <w:autoSpaceDN w:val="0"/>
        <w:adjustRightInd w:val="0"/>
        <w:rPr>
          <w:rFonts w:ascii="Arial" w:eastAsiaTheme="minorHAnsi" w:hAnsi="Arial" w:cs="Arial"/>
          <w:sz w:val="20"/>
          <w:szCs w:val="20"/>
          <w:lang w:val="en-US" w:eastAsia="en-US" w:bidi="ar-SA"/>
        </w:rPr>
      </w:pPr>
      <w:r>
        <w:rPr>
          <w:rFonts w:ascii="Arial" w:eastAsiaTheme="minorHAnsi" w:hAnsi="Arial" w:cs="Arial"/>
          <w:noProof/>
          <w:position w:val="-358"/>
          <w:sz w:val="20"/>
          <w:szCs w:val="20"/>
          <w:lang w:val="en-US" w:eastAsia="en-US" w:bidi="ar-SA"/>
        </w:rPr>
        <w:drawing>
          <wp:inline distT="0" distB="0" distL="0" distR="0">
            <wp:extent cx="3665220" cy="2520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5220" cy="2520315"/>
                    </a:xfrm>
                    <a:prstGeom prst="rect">
                      <a:avLst/>
                    </a:prstGeom>
                    <a:noFill/>
                    <a:ln>
                      <a:noFill/>
                    </a:ln>
                  </pic:spPr>
                </pic:pic>
              </a:graphicData>
            </a:graphic>
          </wp:inline>
        </w:drawing>
      </w:r>
    </w:p>
    <w:p w:rsidR="008A2319" w:rsidRDefault="008A2319"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427C0" w:rsidRDefault="008427C0" w:rsidP="008A2319">
      <w:pPr>
        <w:rPr>
          <w:bCs/>
        </w:rPr>
      </w:pPr>
    </w:p>
    <w:p w:rsidR="008A2319" w:rsidRPr="008A2319" w:rsidRDefault="008A2319" w:rsidP="008A2319">
      <w:pPr>
        <w:framePr w:w="3870" w:h="4335" w:wrap="auto" w:vAnchor="text" w:hAnchor="text" w:x="81" w:y="1"/>
        <w:autoSpaceDE w:val="0"/>
        <w:autoSpaceDN w:val="0"/>
        <w:adjustRightInd w:val="0"/>
        <w:rPr>
          <w:rFonts w:ascii="Arial" w:eastAsiaTheme="minorHAnsi" w:hAnsi="Arial" w:cs="Arial"/>
          <w:sz w:val="20"/>
          <w:szCs w:val="20"/>
          <w:lang w:val="en-US" w:eastAsia="en-US" w:bidi="ar-SA"/>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rPr>
      </w:pPr>
    </w:p>
    <w:p w:rsidR="008A2319" w:rsidRDefault="008A2319" w:rsidP="008A2319">
      <w:pPr>
        <w:rPr>
          <w:bCs/>
          <w:lang w:eastAsia="ru-RU"/>
        </w:rPr>
      </w:pPr>
      <w:r>
        <w:rPr>
          <w:bCs/>
        </w:rPr>
        <w:t>Після чисельного інтегрування з кроком 1 меВ, комплексний показник заломлення та його компоненти можуть бути обрахованими з наступної формули:</w:t>
      </w:r>
    </w:p>
    <w:tbl>
      <w:tblPr>
        <w:tblW w:w="0" w:type="auto"/>
        <w:tblLook w:val="01E0" w:firstRow="1" w:lastRow="1" w:firstColumn="1" w:lastColumn="1" w:noHBand="0" w:noVBand="0"/>
      </w:tblPr>
      <w:tblGrid>
        <w:gridCol w:w="8311"/>
        <w:gridCol w:w="1259"/>
      </w:tblGrid>
      <w:tr w:rsidR="008A2319" w:rsidTr="008A2319">
        <w:tc>
          <w:tcPr>
            <w:tcW w:w="8311" w:type="dxa"/>
            <w:hideMark/>
          </w:tcPr>
          <w:p w:rsidR="008A2319" w:rsidRDefault="008A2319">
            <w:pPr>
              <w:widowControl w:val="0"/>
              <w:ind w:firstLine="709"/>
              <w:jc w:val="center"/>
              <w:rPr>
                <w:lang w:val="en-GB" w:eastAsia="ru-RU"/>
              </w:rPr>
            </w:pPr>
            <w:r>
              <w:rPr>
                <w:position w:val="-32"/>
                <w:lang w:eastAsia="ru-RU"/>
              </w:rPr>
              <w:object w:dxaOrig="3015" w:dyaOrig="960">
                <v:shape id="_x0000_i1038" type="#_x0000_t75" style="width:150.65pt;height:47.8pt" o:ole="">
                  <v:imagedata r:id="rId36" o:title=""/>
                </v:shape>
                <o:OLEObject Type="Embed" ProgID="Equation.3" ShapeID="_x0000_i1038" DrawAspect="Content" ObjectID="_1744661789" r:id="rId37"/>
              </w:object>
            </w:r>
            <w:r>
              <w:rPr>
                <w:lang w:val="en-GB"/>
              </w:rPr>
              <w:t>,</w:t>
            </w:r>
          </w:p>
        </w:tc>
        <w:tc>
          <w:tcPr>
            <w:tcW w:w="1259" w:type="dxa"/>
            <w:vAlign w:val="center"/>
            <w:hideMark/>
          </w:tcPr>
          <w:p w:rsidR="008A2319" w:rsidRDefault="008A2319">
            <w:pPr>
              <w:widowControl w:val="0"/>
              <w:jc w:val="both"/>
              <w:rPr>
                <w:lang w:val="en-GB" w:eastAsia="ru-RU"/>
              </w:rPr>
            </w:pPr>
            <w:r>
              <w:rPr>
                <w:lang w:val="en-GB"/>
              </w:rPr>
              <w:t>(2</w:t>
            </w:r>
            <w:r>
              <w:t>.</w:t>
            </w:r>
            <w:r>
              <w:rPr>
                <w:lang w:val="en-US"/>
              </w:rPr>
              <w:t>16</w:t>
            </w:r>
            <w:r>
              <w:rPr>
                <w:lang w:val="en-GB"/>
              </w:rPr>
              <w:t>)</w:t>
            </w:r>
          </w:p>
        </w:tc>
      </w:tr>
    </w:tbl>
    <w:p w:rsidR="008A2319" w:rsidRDefault="008A2319" w:rsidP="00820D86">
      <w:pPr>
        <w:pStyle w:val="LO-normal"/>
        <w:spacing w:after="100" w:line="360" w:lineRule="auto"/>
        <w:jc w:val="both"/>
        <w:rPr>
          <w:sz w:val="28"/>
          <w:szCs w:val="28"/>
          <w:lang w:val="en-US"/>
        </w:rPr>
      </w:pPr>
    </w:p>
    <w:p w:rsidR="008A2319" w:rsidRPr="008A2319" w:rsidRDefault="008A2319" w:rsidP="00820D86">
      <w:pPr>
        <w:pStyle w:val="LO-normal"/>
        <w:spacing w:after="100" w:line="360" w:lineRule="auto"/>
        <w:jc w:val="both"/>
        <w:rPr>
          <w:sz w:val="28"/>
          <w:szCs w:val="28"/>
        </w:rPr>
      </w:pPr>
      <w:r>
        <w:rPr>
          <w:sz w:val="28"/>
          <w:szCs w:val="28"/>
        </w:rPr>
        <w:t>Для розрахунку коефіцієнта екстинкції використовувався алгоритм чисельного інтегрування методом трапецій.</w:t>
      </w:r>
    </w:p>
    <w:p w:rsidR="008A2319" w:rsidRPr="008A2319" w:rsidRDefault="008A2319" w:rsidP="00820D86">
      <w:pPr>
        <w:pStyle w:val="LO-normal"/>
        <w:spacing w:after="100" w:line="360" w:lineRule="auto"/>
        <w:jc w:val="both"/>
        <w:rPr>
          <w:sz w:val="28"/>
          <w:szCs w:val="28"/>
          <w:lang w:val="ru-RU"/>
        </w:rPr>
      </w:pPr>
    </w:p>
    <w:p w:rsidR="008A2319" w:rsidRPr="008A2319" w:rsidRDefault="008A2319" w:rsidP="00820D86">
      <w:pPr>
        <w:pStyle w:val="LO-normal"/>
        <w:spacing w:after="100" w:line="360" w:lineRule="auto"/>
        <w:jc w:val="both"/>
        <w:rPr>
          <w:sz w:val="28"/>
          <w:szCs w:val="28"/>
          <w:lang w:val="ru-RU"/>
        </w:rPr>
      </w:pPr>
    </w:p>
    <w:p w:rsidR="008A2319" w:rsidRPr="008A2319" w:rsidRDefault="008A2319" w:rsidP="008A2319">
      <w:pPr>
        <w:framePr w:w="6510" w:h="4470" w:wrap="auto" w:vAnchor="text" w:hAnchor="text" w:x="81" w:y="1"/>
        <w:autoSpaceDE w:val="0"/>
        <w:autoSpaceDN w:val="0"/>
        <w:adjustRightInd w:val="0"/>
        <w:rPr>
          <w:rFonts w:ascii="Arial" w:eastAsiaTheme="minorHAnsi" w:hAnsi="Arial" w:cs="Arial"/>
          <w:sz w:val="20"/>
          <w:szCs w:val="20"/>
          <w:lang w:val="en-US" w:eastAsia="en-US" w:bidi="ar-SA"/>
        </w:rPr>
      </w:pPr>
      <w:r>
        <w:rPr>
          <w:rFonts w:ascii="Arial" w:eastAsiaTheme="minorHAnsi" w:hAnsi="Arial" w:cs="Arial"/>
          <w:noProof/>
          <w:position w:val="-408"/>
          <w:sz w:val="20"/>
          <w:szCs w:val="20"/>
          <w:lang w:val="en-US" w:eastAsia="en-US" w:bidi="ar-SA"/>
        </w:rPr>
        <w:lastRenderedPageBreak/>
        <w:drawing>
          <wp:inline distT="0" distB="0" distL="0" distR="0">
            <wp:extent cx="3942080" cy="28352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42080" cy="2835275"/>
                    </a:xfrm>
                    <a:prstGeom prst="rect">
                      <a:avLst/>
                    </a:prstGeom>
                    <a:noFill/>
                    <a:ln>
                      <a:noFill/>
                    </a:ln>
                  </pic:spPr>
                </pic:pic>
              </a:graphicData>
            </a:graphic>
          </wp:inline>
        </w:drawing>
      </w: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p>
    <w:p w:rsidR="008A2319" w:rsidRDefault="008A2319" w:rsidP="00820D86">
      <w:pPr>
        <w:pStyle w:val="LO-normal"/>
        <w:spacing w:after="100" w:line="360" w:lineRule="auto"/>
        <w:jc w:val="both"/>
        <w:rPr>
          <w:sz w:val="28"/>
          <w:szCs w:val="28"/>
          <w:lang w:val="en-US"/>
        </w:rPr>
      </w:pPr>
      <w:bookmarkStart w:id="1" w:name="_GoBack"/>
      <w:bookmarkEnd w:id="1"/>
    </w:p>
    <w:p w:rsidR="008A2319" w:rsidRDefault="008A2319" w:rsidP="00820D86">
      <w:pPr>
        <w:pStyle w:val="LO-normal"/>
        <w:spacing w:after="100" w:line="360" w:lineRule="auto"/>
        <w:jc w:val="both"/>
        <w:rPr>
          <w:sz w:val="28"/>
          <w:szCs w:val="28"/>
          <w:lang w:val="en-US"/>
        </w:rPr>
      </w:pPr>
    </w:p>
    <w:p w:rsidR="008A2319" w:rsidRPr="008A2319" w:rsidRDefault="008A2319" w:rsidP="00820D86">
      <w:pPr>
        <w:pStyle w:val="LO-normal"/>
        <w:spacing w:after="100" w:line="360" w:lineRule="auto"/>
        <w:jc w:val="both"/>
        <w:rPr>
          <w:sz w:val="28"/>
          <w:szCs w:val="28"/>
          <w:lang w:val="en-US"/>
        </w:rPr>
      </w:pPr>
    </w:p>
    <w:p w:rsidR="00820D86" w:rsidRDefault="00820D86" w:rsidP="00820D86">
      <w:pPr>
        <w:pStyle w:val="LO-normal"/>
        <w:spacing w:after="100" w:line="360" w:lineRule="auto"/>
        <w:jc w:val="both"/>
        <w:rPr>
          <w:sz w:val="28"/>
          <w:szCs w:val="28"/>
        </w:rPr>
      </w:pPr>
      <w:r>
        <w:rPr>
          <w:sz w:val="28"/>
          <w:szCs w:val="28"/>
        </w:rPr>
        <w:t>2.5.</w:t>
      </w:r>
      <w:r>
        <w:rPr>
          <w:sz w:val="28"/>
          <w:szCs w:val="28"/>
        </w:rPr>
        <w:tab/>
        <w:t xml:space="preserve"> Висновки до розділу</w:t>
      </w:r>
    </w:p>
    <w:p w:rsidR="00820D86" w:rsidRDefault="00820D86" w:rsidP="00820D86">
      <w:pPr>
        <w:pStyle w:val="LO-normal"/>
        <w:spacing w:after="100" w:line="360" w:lineRule="auto"/>
        <w:ind w:firstLine="720"/>
        <w:jc w:val="both"/>
        <w:rPr>
          <w:sz w:val="28"/>
          <w:szCs w:val="28"/>
        </w:rPr>
      </w:pPr>
      <w:r>
        <w:rPr>
          <w:sz w:val="28"/>
          <w:szCs w:val="28"/>
        </w:rPr>
        <w:t>!!!!!!!!!!!!!</w:t>
      </w:r>
    </w:p>
    <w:p w:rsidR="00820D86" w:rsidRDefault="00820D86" w:rsidP="00820D86">
      <w:pPr>
        <w:pStyle w:val="LO-normal"/>
        <w:spacing w:after="100" w:line="360" w:lineRule="auto"/>
        <w:ind w:firstLine="720"/>
        <w:jc w:val="both"/>
        <w:rPr>
          <w:sz w:val="28"/>
          <w:szCs w:val="28"/>
        </w:rPr>
      </w:pPr>
      <w:r>
        <w:rPr>
          <w:sz w:val="28"/>
          <w:szCs w:val="28"/>
        </w:rPr>
        <w:t>будуть</w:t>
      </w:r>
    </w:p>
    <w:p w:rsidR="00820D86" w:rsidRDefault="00820D86" w:rsidP="00820D86">
      <w:pPr>
        <w:pStyle w:val="LO-normal"/>
        <w:spacing w:after="100" w:line="360" w:lineRule="auto"/>
        <w:ind w:firstLine="720"/>
        <w:jc w:val="both"/>
        <w:rPr>
          <w:sz w:val="28"/>
          <w:szCs w:val="28"/>
        </w:rPr>
      </w:pPr>
      <w:r>
        <w:rPr>
          <w:sz w:val="28"/>
          <w:szCs w:val="28"/>
        </w:rPr>
        <w:t>!!!!!!!!!!!!</w:t>
      </w:r>
    </w:p>
    <w:p w:rsidR="007A0BF0" w:rsidRDefault="007A0BF0"/>
    <w:sectPr w:rsidR="007A0BF0">
      <w:headerReference w:type="default" r:id="rId39"/>
      <w:pgSz w:w="11906" w:h="16838"/>
      <w:pgMar w:top="1134" w:right="567" w:bottom="1134" w:left="1701" w:header="709"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k" w:date="2023-05-03T23:09:00Z" w:initials="n">
    <w:p w:rsidR="00820D86" w:rsidRDefault="00820D86" w:rsidP="00820D86">
      <w:pPr>
        <w:pStyle w:val="CommentText"/>
      </w:pPr>
      <w:r>
        <w:rPr>
          <w:rStyle w:val="CommentReference"/>
        </w:rPr>
        <w:annotationRef/>
      </w:r>
      <w:r>
        <w:t>4 прибрати. 9 перенести на місце 4. Між 3 і 4 вставити напівпрозору пластинку, з якої світло попадає в сенсор 9 а інший промінь йде на поверхню 6</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223" w:rsidRDefault="00EE2223">
      <w:r>
        <w:separator/>
      </w:r>
    </w:p>
  </w:endnote>
  <w:endnote w:type="continuationSeparator" w:id="0">
    <w:p w:rsidR="00EE2223" w:rsidRDefault="00EE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223" w:rsidRDefault="00EE2223">
      <w:r>
        <w:separator/>
      </w:r>
    </w:p>
  </w:footnote>
  <w:footnote w:type="continuationSeparator" w:id="0">
    <w:p w:rsidR="00EE2223" w:rsidRDefault="00EE22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057" w:rsidRDefault="00EE2223">
    <w:pPr>
      <w:pStyle w:val="LO-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D86"/>
    <w:rsid w:val="007A0BF0"/>
    <w:rsid w:val="00820D86"/>
    <w:rsid w:val="008427C0"/>
    <w:rsid w:val="008A2319"/>
    <w:rsid w:val="00EE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86"/>
    <w:pPr>
      <w:spacing w:after="0" w:line="240" w:lineRule="auto"/>
    </w:pPr>
    <w:rPr>
      <w:rFonts w:ascii="Times New Roman" w:eastAsia="Times New Roman" w:hAnsi="Times New Roman" w:cs="Times New Roman"/>
      <w:sz w:val="24"/>
      <w:szCs w:val="24"/>
      <w:lang w:val="uk-U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820D86"/>
    <w:pPr>
      <w:spacing w:after="0" w:line="240" w:lineRule="auto"/>
    </w:pPr>
    <w:rPr>
      <w:rFonts w:ascii="Times New Roman" w:eastAsia="Noto Serif CJK SC" w:hAnsi="Times New Roman" w:cs="Lohit Devanagari"/>
      <w:sz w:val="24"/>
      <w:szCs w:val="24"/>
      <w:lang w:val="uk-UA" w:eastAsia="zh-CN" w:bidi="hi-IN"/>
    </w:rPr>
  </w:style>
  <w:style w:type="character" w:styleId="CommentReference">
    <w:name w:val="annotation reference"/>
    <w:basedOn w:val="DefaultParagraphFont"/>
    <w:uiPriority w:val="99"/>
    <w:semiHidden/>
    <w:unhideWhenUsed/>
    <w:rsid w:val="00820D86"/>
    <w:rPr>
      <w:sz w:val="16"/>
      <w:szCs w:val="16"/>
    </w:rPr>
  </w:style>
  <w:style w:type="paragraph" w:styleId="CommentText">
    <w:name w:val="annotation text"/>
    <w:basedOn w:val="Normal"/>
    <w:link w:val="CommentTextChar"/>
    <w:uiPriority w:val="99"/>
    <w:semiHidden/>
    <w:unhideWhenUsed/>
    <w:rsid w:val="00820D86"/>
    <w:rPr>
      <w:rFonts w:cs="Mangal"/>
      <w:sz w:val="20"/>
      <w:szCs w:val="18"/>
    </w:rPr>
  </w:style>
  <w:style w:type="character" w:customStyle="1" w:styleId="CommentTextChar">
    <w:name w:val="Comment Text Char"/>
    <w:basedOn w:val="DefaultParagraphFont"/>
    <w:link w:val="CommentText"/>
    <w:uiPriority w:val="99"/>
    <w:semiHidden/>
    <w:rsid w:val="00820D86"/>
    <w:rPr>
      <w:rFonts w:ascii="Times New Roman" w:eastAsia="Times New Roman" w:hAnsi="Times New Roman" w:cs="Mangal"/>
      <w:sz w:val="20"/>
      <w:szCs w:val="18"/>
      <w:lang w:val="uk-UA" w:eastAsia="zh-CN" w:bidi="hi-IN"/>
    </w:rPr>
  </w:style>
  <w:style w:type="paragraph" w:styleId="BalloonText">
    <w:name w:val="Balloon Text"/>
    <w:basedOn w:val="Normal"/>
    <w:link w:val="BalloonTextChar"/>
    <w:uiPriority w:val="99"/>
    <w:semiHidden/>
    <w:unhideWhenUsed/>
    <w:rsid w:val="00820D86"/>
    <w:rPr>
      <w:rFonts w:ascii="Tahoma" w:hAnsi="Tahoma" w:cs="Mangal"/>
      <w:sz w:val="16"/>
      <w:szCs w:val="14"/>
    </w:rPr>
  </w:style>
  <w:style w:type="character" w:customStyle="1" w:styleId="BalloonTextChar">
    <w:name w:val="Balloon Text Char"/>
    <w:basedOn w:val="DefaultParagraphFont"/>
    <w:link w:val="BalloonText"/>
    <w:uiPriority w:val="99"/>
    <w:semiHidden/>
    <w:rsid w:val="00820D86"/>
    <w:rPr>
      <w:rFonts w:ascii="Tahoma" w:eastAsia="Times New Roman" w:hAnsi="Tahoma" w:cs="Mangal"/>
      <w:sz w:val="16"/>
      <w:szCs w:val="14"/>
      <w:lang w:val="uk-U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86"/>
    <w:pPr>
      <w:spacing w:after="0" w:line="240" w:lineRule="auto"/>
    </w:pPr>
    <w:rPr>
      <w:rFonts w:ascii="Times New Roman" w:eastAsia="Times New Roman" w:hAnsi="Times New Roman" w:cs="Times New Roman"/>
      <w:sz w:val="24"/>
      <w:szCs w:val="24"/>
      <w:lang w:val="uk-U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820D86"/>
    <w:pPr>
      <w:spacing w:after="0" w:line="240" w:lineRule="auto"/>
    </w:pPr>
    <w:rPr>
      <w:rFonts w:ascii="Times New Roman" w:eastAsia="Noto Serif CJK SC" w:hAnsi="Times New Roman" w:cs="Lohit Devanagari"/>
      <w:sz w:val="24"/>
      <w:szCs w:val="24"/>
      <w:lang w:val="uk-UA" w:eastAsia="zh-CN" w:bidi="hi-IN"/>
    </w:rPr>
  </w:style>
  <w:style w:type="character" w:styleId="CommentReference">
    <w:name w:val="annotation reference"/>
    <w:basedOn w:val="DefaultParagraphFont"/>
    <w:uiPriority w:val="99"/>
    <w:semiHidden/>
    <w:unhideWhenUsed/>
    <w:rsid w:val="00820D86"/>
    <w:rPr>
      <w:sz w:val="16"/>
      <w:szCs w:val="16"/>
    </w:rPr>
  </w:style>
  <w:style w:type="paragraph" w:styleId="CommentText">
    <w:name w:val="annotation text"/>
    <w:basedOn w:val="Normal"/>
    <w:link w:val="CommentTextChar"/>
    <w:uiPriority w:val="99"/>
    <w:semiHidden/>
    <w:unhideWhenUsed/>
    <w:rsid w:val="00820D86"/>
    <w:rPr>
      <w:rFonts w:cs="Mangal"/>
      <w:sz w:val="20"/>
      <w:szCs w:val="18"/>
    </w:rPr>
  </w:style>
  <w:style w:type="character" w:customStyle="1" w:styleId="CommentTextChar">
    <w:name w:val="Comment Text Char"/>
    <w:basedOn w:val="DefaultParagraphFont"/>
    <w:link w:val="CommentText"/>
    <w:uiPriority w:val="99"/>
    <w:semiHidden/>
    <w:rsid w:val="00820D86"/>
    <w:rPr>
      <w:rFonts w:ascii="Times New Roman" w:eastAsia="Times New Roman" w:hAnsi="Times New Roman" w:cs="Mangal"/>
      <w:sz w:val="20"/>
      <w:szCs w:val="18"/>
      <w:lang w:val="uk-UA" w:eastAsia="zh-CN" w:bidi="hi-IN"/>
    </w:rPr>
  </w:style>
  <w:style w:type="paragraph" w:styleId="BalloonText">
    <w:name w:val="Balloon Text"/>
    <w:basedOn w:val="Normal"/>
    <w:link w:val="BalloonTextChar"/>
    <w:uiPriority w:val="99"/>
    <w:semiHidden/>
    <w:unhideWhenUsed/>
    <w:rsid w:val="00820D86"/>
    <w:rPr>
      <w:rFonts w:ascii="Tahoma" w:hAnsi="Tahoma" w:cs="Mangal"/>
      <w:sz w:val="16"/>
      <w:szCs w:val="14"/>
    </w:rPr>
  </w:style>
  <w:style w:type="character" w:customStyle="1" w:styleId="BalloonTextChar">
    <w:name w:val="Balloon Text Char"/>
    <w:basedOn w:val="DefaultParagraphFont"/>
    <w:link w:val="BalloonText"/>
    <w:uiPriority w:val="99"/>
    <w:semiHidden/>
    <w:rsid w:val="00820D86"/>
    <w:rPr>
      <w:rFonts w:ascii="Tahoma" w:eastAsia="Times New Roman" w:hAnsi="Tahoma" w:cs="Mangal"/>
      <w:sz w:val="16"/>
      <w:szCs w:val="14"/>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2</cp:revision>
  <dcterms:created xsi:type="dcterms:W3CDTF">2023-05-03T20:09:00Z</dcterms:created>
  <dcterms:modified xsi:type="dcterms:W3CDTF">2023-05-03T20:30:00Z</dcterms:modified>
</cp:coreProperties>
</file>