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ОПИС ЦИФРОВОГО ОПТИЧНОГО СПЕКТРОМЕТРА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</w:t>
        <w:tab/>
        <w:t xml:space="preserve"> Загальні принципи роботи розробленого цифрового оптичного спектрометра для дослідження оптичних властивостей структури напівпровідника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 задача магістерської дисертації — розробка цифрового оптичного спектрометра (програмної та апаратної частини), з яким можна буде визначити властивості матеріалу, який досліджується, неруйнівним методом і функції якого будуть відповідати промисловим аналогам.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дисертаційної роботи  був розроблений концепт, основою якого став оптичний спектрометр, а також додаткове обладнання (тримачі, штативи, регулятори та поляризатори). Схема концепту представлена на рисунку </w:t>
      </w: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Світло (2) випромінюється за допомогою лазерного пристрою (1), проходить через поляризатор (3). </w:t>
      </w:r>
      <w:r w:rsidDel="00000000" w:rsidR="00000000" w:rsidRPr="00000000">
        <w:rPr>
          <w:sz w:val="28"/>
          <w:szCs w:val="28"/>
          <w:rtl w:val="0"/>
        </w:rPr>
        <w:t xml:space="preserve">Далі світло падає на поверхню напівпрозорого скельця (4) і частково відбиває падаючий промінь (12) в </w:t>
      </w:r>
      <w:r w:rsidDel="00000000" w:rsidR="00000000" w:rsidRPr="00000000">
        <w:rPr>
          <w:sz w:val="28"/>
          <w:szCs w:val="28"/>
          <w:rtl w:val="0"/>
        </w:rPr>
        <w:t xml:space="preserve">RGBC</w:t>
      </w:r>
      <w:r w:rsidDel="00000000" w:rsidR="00000000" w:rsidRPr="00000000">
        <w:rPr>
          <w:sz w:val="28"/>
          <w:szCs w:val="28"/>
          <w:rtl w:val="0"/>
        </w:rPr>
        <w:t xml:space="preserve"> сенсор (9) спектрометра (10).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Поляризоване світло (5), яке проходить через </w:t>
      </w:r>
      <w:r w:rsidDel="00000000" w:rsidR="00000000" w:rsidRPr="00000000">
        <w:rPr>
          <w:sz w:val="28"/>
          <w:szCs w:val="28"/>
          <w:rtl w:val="0"/>
        </w:rPr>
        <w:t xml:space="preserve">напівпрозоре</w:t>
      </w:r>
      <w:r w:rsidDel="00000000" w:rsidR="00000000" w:rsidRPr="00000000">
        <w:rPr>
          <w:sz w:val="28"/>
          <w:szCs w:val="28"/>
          <w:rtl w:val="0"/>
        </w:rPr>
        <w:t xml:space="preserve"> скельце,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падає на поверхню матеріалу (6), після чого відбитий промінь (7) падає на RGBC сенсор (8) спектрометра (10), який передає дані до персонального комп'ютера (11). На ПК проводяться основні математичні обчислення і визначаються оптичні властивості матеріалу по формулі Зельмеєра, після чого отримані результати порівнюються із табличними даними, які вбудовані в програмне забезпечення. Як результат — визначаємо тип напівпровідникового матеріалу.</w:t>
      </w:r>
    </w:p>
    <w:p w:rsidR="00000000" w:rsidDel="00000000" w:rsidP="00000000" w:rsidRDefault="00000000" w:rsidRPr="00000000" w14:paraId="00000008">
      <w:pPr>
        <w:spacing w:after="100"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048375" cy="4109687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5"/>
                          <a:srcRect b="1840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4109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сунок 8 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Схема концепту цифрового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оптичного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спектрометра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 Формула Зельмеєра та її опис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Формула або як її ще називають рівняння Зельмеєра представляє собою емпіричну функцію, яка описує залежність коефіцієнта відбивання від довжини хвилі. Рівняння використовується для визначення дисперсії світла в прозорому середовищі без наявності резонансу і при мінімальному поглинанні. Рівняння вперше було запропоновано в 1872 році Вільгельмом Зельмеєром і являлося розвитком роботи Огюстена Коші. [</w:t>
      </w:r>
      <w:r w:rsidDel="00000000" w:rsidR="00000000" w:rsidRPr="00000000">
        <w:rPr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Рівняння Зельмеєра виглядає:</w:t>
      </w:r>
    </w:p>
    <w:tbl>
      <w:tblPr>
        <w:tblStyle w:val="Table2"/>
        <w:tblW w:w="9638.0" w:type="dxa"/>
        <w:jc w:val="left"/>
        <w:tblInd w:w="-100.0" w:type="dxa"/>
        <w:tblLayout w:type="fixed"/>
        <w:tblLook w:val="0600"/>
      </w:tblPr>
      <w:tblGrid>
        <w:gridCol w:w="7755"/>
        <w:gridCol w:w="1883"/>
        <w:tblGridChange w:id="0">
          <w:tblGrid>
            <w:gridCol w:w="7755"/>
            <w:gridCol w:w="18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360" w:lineRule="auto"/>
              <w:ind w:left="0" w:right="0" w:firstLine="72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n(λ)=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1+</m:t>
                  </m:r>
                  <m:nary>
                    <m:naryPr>
                      <m:chr m:val="∑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i=0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nary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fill="auto" w:val="clear"/>
                              <w:vertAlign w:val="baseline"/>
                            </w:rPr>
                            <m:t xml:space="preserve">i</m:t>
                          </m:r>
                        </m:sub>
                      </m:sSub>
                    </m:den>
                  </m:f>
                </m:e>
              </m:rad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360" w:lineRule="auto"/>
              <w:ind w:left="0" w:right="0" w:firstLine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(1)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refractive index,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довжина хвилі, 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експериментально визначенні коефіцієнти Зельмеєра. Коефіцієнти С зазвичай вказують в мікрометрах в квадраті.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Кожен член суми представляє собою резонанс поглинання з силою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довжині хвилі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2 — коефіцієнти Зельмеєра для різних матеріалів</w:t>
      </w:r>
    </w:p>
    <w:tbl>
      <w:tblPr>
        <w:tblStyle w:val="Table3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185"/>
        <w:gridCol w:w="1365"/>
        <w:gridCol w:w="1365"/>
        <w:gridCol w:w="1365"/>
        <w:gridCol w:w="1365"/>
        <w:gridCol w:w="1365"/>
        <w:tblGridChange w:id="0">
          <w:tblGrid>
            <w:gridCol w:w="1545"/>
            <w:gridCol w:w="1185"/>
            <w:gridCol w:w="1365"/>
            <w:gridCol w:w="1365"/>
            <w:gridCol w:w="1365"/>
            <w:gridCol w:w="136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Матеріал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С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мкм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С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мкм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С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мкм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Скло (крон)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1.03961212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0.231792344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1.01046945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6.00069867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-3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2.00179144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-2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103.560653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Сапфір (для звичайної хвилі)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1.43134930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0.65054713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5.3414021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5.2799261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-3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1.42382647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-2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325.017834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Сапфір (для не звичайної хвилі)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1.5039759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0.55069141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6.5927379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5.48041129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-3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1.47994281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-2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402.89514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Плавлений кварц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0.696166300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0.407942600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0.897479400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4.67914826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-3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1.35120631 *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-2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97.9340025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Фторид магнію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0.48755108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0.39875031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2.3120353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0.001882178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0.008951888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566,13559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Силікон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10.6684293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0.0030434748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1.54133408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0.0909121907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1.28766018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1,218,816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Арсенід галію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27.83972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0.031764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0.001 43636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0.4431307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0.8746453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36.9166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</w:t>
      </w:r>
      <w:r w:rsidDel="00000000" w:rsidR="00000000" w:rsidRPr="00000000">
        <w:rPr>
          <w:sz w:val="28"/>
          <w:szCs w:val="28"/>
          <w:rtl w:val="0"/>
        </w:rPr>
        <w:t xml:space="preserve">чне обгрунтування визначення коефіцієнтів для досліджуваного матеріалу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отриманих спектрів відбивання в усьому оптичному діапазоні було визначено оптичні та псевдо-оптичні константи досліджуваних структур. Для цього скористаємося комплексним аналізом.</w:t>
      </w:r>
    </w:p>
    <w:tbl>
      <w:tblPr>
        <w:tblStyle w:val="Table4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25" style="width:225.7pt;height:24.2pt" o:ole="" type="#_x0000_t75">
                  <v:imagedata r:id="rId1" o:title=""/>
                </v:shape>
                <o:OLEObject DrawAspect="Content" r:id="rId2" ObjectID="_1744661776" ProgID="Equation.3" ShapeID="_x0000_i1025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(2)</w:t>
            </w:r>
          </w:p>
        </w:tc>
      </w:tr>
    </w:tbl>
    <w:p w:rsidR="00000000" w:rsidDel="00000000" w:rsidP="00000000" w:rsidRDefault="00000000" w:rsidRPr="00000000" w14:paraId="0000005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 комплексного числа представлений у формах: Ейлера, тригонометричній та алгебраїчній.</w:t>
      </w:r>
    </w:p>
    <w:tbl>
      <w:tblPr>
        <w:tblStyle w:val="Table5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26" style="width:237.8pt;height:27.25pt" o:ole="" type="#_x0000_t75">
                  <v:imagedata r:id="rId3" o:title=""/>
                </v:shape>
                <o:OLEObject DrawAspect="Content" r:id="rId4" ObjectID="_1744661777" ProgID="Equation.3" ShapeID="_x0000_i1026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(3)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27" style="width:348.5pt;height:228.1pt" o:ole="" type="#_x0000_t75">
                  <v:imagedata r:id="rId5" o:title=""/>
                </v:shape>
                <o:OLEObject DrawAspect="Content" r:id="rId6" ObjectID="_1744661778" ProgID="Equation.3" ShapeID="_x0000_i1027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(4)</w:t>
            </w:r>
          </w:p>
        </w:tc>
      </w:tr>
    </w:tbl>
    <w:p w:rsidR="00000000" w:rsidDel="00000000" w:rsidP="00000000" w:rsidRDefault="00000000" w:rsidRPr="00000000" w14:paraId="0000005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Рівняння Френеля для комплексного коефіцієнту відбиття при нормальному падінні світла запишемо у наступному вигляді:</w:t>
      </w:r>
    </w:p>
    <w:tbl>
      <w:tblPr>
        <w:tblStyle w:val="Table7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28" style="width:359.4pt;height:44.75pt" o:ole="" type="#_x0000_t75">
                  <v:imagedata r:id="rId7" o:title=""/>
                </v:shape>
                <o:OLEObject DrawAspect="Content" r:id="rId8" ObjectID="_1744661779" ProgID="Equation.3" ShapeID="_x0000_i1028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(5)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де, </w:t>
      </w:r>
      <w:r w:rsidDel="00000000" w:rsidR="00000000" w:rsidRPr="00000000">
        <w:rPr>
          <w:sz w:val="28"/>
          <w:szCs w:val="28"/>
          <w:vertAlign w:val="subscript"/>
        </w:rPr>
        <w:pict>
          <v:shape id="_x0000_i1029" style="width:112.55pt;height:21.8pt" o:ole="" type="#_x0000_t75">
            <v:imagedata r:id="rId9" o:title=""/>
          </v:shape>
          <o:OLEObject DrawAspect="Content" r:id="rId10" ObjectID="_1744661780" ProgID="Equation.3" ShapeID="_x0000_i1029" Type="Embed"/>
        </w:pict>
      </w:r>
      <w:r w:rsidDel="00000000" w:rsidR="00000000" w:rsidRPr="00000000">
        <w:rPr>
          <w:sz w:val="28"/>
          <w:szCs w:val="28"/>
          <w:rtl w:val="0"/>
        </w:rPr>
        <w:t xml:space="preserve"> – комплексний показник заломлення; </w:t>
      </w:r>
      <w:r w:rsidDel="00000000" w:rsidR="00000000" w:rsidRPr="00000000">
        <w:rPr>
          <w:i w:val="1"/>
          <w:sz w:val="28"/>
          <w:szCs w:val="28"/>
          <w:rtl w:val="0"/>
        </w:rPr>
        <w:t xml:space="preserve">n, k</w:t>
      </w:r>
      <w:r w:rsidDel="00000000" w:rsidR="00000000" w:rsidRPr="00000000">
        <w:rPr>
          <w:sz w:val="28"/>
          <w:szCs w:val="28"/>
          <w:rtl w:val="0"/>
        </w:rPr>
        <w:t xml:space="preserve"> – дійсна та уявна його складові, модуль комплексного числа дорівнює кореню інтенсивності відбитого світла:</w:t>
      </w:r>
    </w:p>
    <w:tbl>
      <w:tblPr>
        <w:tblStyle w:val="Table8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0" style="width:113.75pt;height:27.25pt" o:ole="" type="#_x0000_t75">
                  <v:imagedata r:id="rId11" o:title=""/>
                </v:shape>
                <o:OLEObject DrawAspect="Content" r:id="rId12" ObjectID="_1744661781" ProgID="Equation.3" ShapeID="_x0000_i1030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(6)</w:t>
            </w:r>
          </w:p>
        </w:tc>
      </w:tr>
    </w:tbl>
    <w:p w:rsidR="00000000" w:rsidDel="00000000" w:rsidP="00000000" w:rsidRDefault="00000000" w:rsidRPr="00000000" w14:paraId="0000005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Домноживши </w:t>
      </w:r>
      <w:r w:rsidDel="00000000" w:rsidR="00000000" w:rsidRPr="00000000">
        <w:rPr>
          <w:sz w:val="28"/>
          <w:szCs w:val="28"/>
          <w:vertAlign w:val="subscript"/>
        </w:rPr>
        <w:pict>
          <v:shape id="_x0000_i1031" style="width:30.85pt;height:18.75pt" o:ole="" type="#_x0000_t75">
            <v:imagedata r:id="rId13" o:title=""/>
          </v:shape>
          <o:OLEObject DrawAspect="Content" r:id="rId14" ObjectID="_1744661782" ProgID="Equation.3" ShapeID="_x0000_i1031" Type="Embed"/>
        </w:pict>
      </w:r>
      <w:r w:rsidDel="00000000" w:rsidR="00000000" w:rsidRPr="00000000">
        <w:rPr>
          <w:sz w:val="28"/>
          <w:szCs w:val="28"/>
          <w:rtl w:val="0"/>
        </w:rPr>
        <w:t xml:space="preserve">на комплексно </w:t>
      </w:r>
      <w:r w:rsidDel="00000000" w:rsidR="00000000" w:rsidRPr="00000000">
        <w:rPr>
          <w:sz w:val="28"/>
          <w:szCs w:val="28"/>
          <w:rtl w:val="0"/>
        </w:rPr>
        <w:t xml:space="preserve">спряжене</w:t>
      </w:r>
      <w:r w:rsidDel="00000000" w:rsidR="00000000" w:rsidRPr="00000000">
        <w:rPr>
          <w:sz w:val="28"/>
          <w:szCs w:val="28"/>
          <w:rtl w:val="0"/>
        </w:rPr>
        <w:t xml:space="preserve"> число </w:t>
      </w:r>
      <w:r w:rsidDel="00000000" w:rsidR="00000000" w:rsidRPr="00000000">
        <w:rPr>
          <w:sz w:val="28"/>
          <w:szCs w:val="28"/>
          <w:vertAlign w:val="subscript"/>
        </w:rPr>
        <w:pict>
          <v:shape id="_x0000_i1032" style="width:36.3pt;height:21.2pt" o:ole="" type="#_x0000_t75">
            <v:imagedata r:id="rId15" o:title=""/>
          </v:shape>
          <o:OLEObject DrawAspect="Content" r:id="rId16" ObjectID="_1744661783" ProgID="Equation.3" ShapeID="_x0000_i1032" Type="Embed"/>
        </w:pict>
      </w:r>
      <w:r w:rsidDel="00000000" w:rsidR="00000000" w:rsidRPr="00000000">
        <w:rPr>
          <w:sz w:val="28"/>
          <w:szCs w:val="28"/>
          <w:rtl w:val="0"/>
        </w:rPr>
        <w:t xml:space="preserve"> позбудемося комплексності виразу.</w:t>
      </w:r>
    </w:p>
    <w:p w:rsidR="00000000" w:rsidDel="00000000" w:rsidP="00000000" w:rsidRDefault="00000000" w:rsidRPr="00000000" w14:paraId="0000005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виділення дійсної і уявної частини комплексного відбивання рівняння Френеля зручно представляти в алгебраїчній формі:</w:t>
      </w:r>
    </w:p>
    <w:tbl>
      <w:tblPr>
        <w:tblStyle w:val="Table9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3" style="width:249.3pt;height:44.15pt" o:ole="" type="#_x0000_t75">
                  <v:imagedata r:id="rId17" o:title=""/>
                </v:shape>
                <o:OLEObject DrawAspect="Content" r:id="rId18" ObjectID="_1744661784" ProgID="Equation.3" ShapeID="_x0000_i1033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(7)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4" style="width:163.95pt;height:173.05pt" o:ole="" type="#_x0000_t75">
                  <v:imagedata r:id="rId19" o:title=""/>
                </v:shape>
                <o:OLEObject DrawAspect="Content" r:id="rId20" ObjectID="_1744661785" ProgID="Equation.3" ShapeID="_x0000_i1034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(8)</w:t>
            </w:r>
          </w:p>
        </w:tc>
      </w:tr>
    </w:tbl>
    <w:p w:rsidR="00000000" w:rsidDel="00000000" w:rsidP="00000000" w:rsidRDefault="00000000" w:rsidRPr="00000000" w14:paraId="0000006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Оскільки вимірювання проводяться в повітрі, то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=1 і рівняння спрощується:</w:t>
      </w:r>
    </w:p>
    <w:tbl>
      <w:tblPr>
        <w:tblStyle w:val="Table11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5" style="width:200.25pt;height:44.15pt" o:ole="" type="#_x0000_t75">
                  <v:imagedata r:id="rId21" o:title=""/>
                </v:shape>
                <o:OLEObject DrawAspect="Content" r:id="rId22" ObjectID="_1744661786" ProgID="Equation.3" ShapeID="_x0000_i1035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(9)</w:t>
            </w:r>
          </w:p>
        </w:tc>
      </w:tr>
    </w:tbl>
    <w:p w:rsidR="00000000" w:rsidDel="00000000" w:rsidP="00000000" w:rsidRDefault="00000000" w:rsidRPr="00000000" w14:paraId="0000006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Застосувавши процедуру логарифмування, представимо вираз (9) в алгебраїчній формі:</w:t>
      </w:r>
    </w:p>
    <w:tbl>
      <w:tblPr>
        <w:tblStyle w:val="Table12"/>
        <w:tblW w:w="9570.0" w:type="dxa"/>
        <w:jc w:val="left"/>
        <w:tblInd w:w="-115.0" w:type="dxa"/>
        <w:tblLayout w:type="fixed"/>
        <w:tblLook w:val="0000"/>
      </w:tblPr>
      <w:tblGrid>
        <w:gridCol w:w="8326"/>
        <w:gridCol w:w="1244"/>
        <w:tblGridChange w:id="0">
          <w:tblGrid>
            <w:gridCol w:w="8326"/>
            <w:gridCol w:w="1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6" style="width:145.2pt;height:24.8pt" o:ole="" type="#_x0000_t75">
                  <v:imagedata r:id="rId23" o:title=""/>
                </v:shape>
                <o:OLEObject DrawAspect="Content" r:id="rId24" ObjectID="_1744661787" ProgID="Equation.3" ShapeID="_x0000_i1036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(10)</w:t>
            </w:r>
          </w:p>
        </w:tc>
      </w:tr>
    </w:tbl>
    <w:p w:rsidR="00000000" w:rsidDel="00000000" w:rsidP="00000000" w:rsidRDefault="00000000" w:rsidRPr="00000000" w14:paraId="0000006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цьому випадку, фазова компонента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θ</w:t>
      </w:r>
      <w:r w:rsidDel="00000000" w:rsidR="00000000" w:rsidRPr="00000000">
        <w:rPr>
          <w:sz w:val="28"/>
          <w:szCs w:val="28"/>
          <w:rtl w:val="0"/>
        </w:rPr>
        <w:t xml:space="preserve"> може бути обрахована за допомогою перетворення Крамерса-Кроніга [ХХХХ]:</w:t>
      </w:r>
    </w:p>
    <w:tbl>
      <w:tblPr>
        <w:tblStyle w:val="Table13"/>
        <w:tblW w:w="9570.0" w:type="dxa"/>
        <w:jc w:val="left"/>
        <w:tblInd w:w="-115.0" w:type="dxa"/>
        <w:tblLayout w:type="fixed"/>
        <w:tblLook w:val="0000"/>
      </w:tblPr>
      <w:tblGrid>
        <w:gridCol w:w="8315"/>
        <w:gridCol w:w="1255"/>
        <w:tblGridChange w:id="0">
          <w:tblGrid>
            <w:gridCol w:w="8315"/>
            <w:gridCol w:w="1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7" style="width:214.8pt;height:49pt" o:ole="" type="#_x0000_t75">
                  <v:imagedata r:id="rId25" o:title=""/>
                </v:shape>
                <o:OLEObject DrawAspect="Content" r:id="rId26" ObjectID="_1744661788" ProgID="Equation.3" ShapeID="_x0000_i103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(11)</w:t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розрахунку фази використовувався наступний алгоритм чисельного інтегрування методом Трапецій, схема якого зображена на рисунку 9.</w:t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drawing>
                <wp:inline distB="0" distT="0" distL="0" distR="0">
                  <wp:extent cx="5839778" cy="4011673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778" cy="40116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Рисунок 9 — Схема розрахунку фази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чисельного інтегрування з кроком 1 меВ, комплексний показник заломлення та його компоненти можуть бути порахованими з наступної формули:</w:t>
      </w:r>
    </w:p>
    <w:tbl>
      <w:tblPr>
        <w:tblStyle w:val="Table15"/>
        <w:tblW w:w="9570.0" w:type="dxa"/>
        <w:jc w:val="left"/>
        <w:tblInd w:w="-115.0" w:type="dxa"/>
        <w:tblLayout w:type="fixed"/>
        <w:tblLook w:val="0000"/>
      </w:tblPr>
      <w:tblGrid>
        <w:gridCol w:w="8311"/>
        <w:gridCol w:w="1259"/>
        <w:tblGridChange w:id="0">
          <w:tblGrid>
            <w:gridCol w:w="8311"/>
            <w:gridCol w:w="12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pict>
                <v:shape id="_x0000_i1038" style="width:150.65pt;height:47.8pt" o:ole="" type="#_x0000_t75">
                  <v:imagedata r:id="rId27" o:title=""/>
                </v:shape>
                <o:OLEObject DrawAspect="Content" r:id="rId28" ObjectID="_1744661789" ProgID="Equation.3" ShapeID="_x0000_i1038" Type="Embed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(12)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розрахунку коефіцієнта екстинкції використовувався алгоритм чисельного інтегрування </w:t>
      </w:r>
      <w:r w:rsidDel="00000000" w:rsidR="00000000" w:rsidRPr="00000000">
        <w:rPr>
          <w:sz w:val="28"/>
          <w:szCs w:val="28"/>
          <w:rtl w:val="0"/>
        </w:rPr>
        <w:t xml:space="preserve">методом Трапецій, схема якого зображена на рисунку 10.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subscript"/>
              </w:rPr>
              <w:drawing>
                <wp:inline distB="0" distT="0" distL="0" distR="0">
                  <wp:extent cx="5919908" cy="4266247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908" cy="4266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Рисунок 10 — Схема розрахунку коефіцієнта екстинкції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2.5.</w:t>
        <w:tab/>
        <w:t xml:space="preserve"> Висновки до розділу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розділі було розглянуто принцип роботи та використання цифрового оптичного спектрометра для дослідження поверхні напівпровідників. Була представлена схема дослідження поверхні матеріалу, яка включає в свій склад розроблений цифровий оптичний спектрометр, лазерної установки, поляризатора, напівпрозорого скельця, досліджуваного матеріалу та комп’ютера, на якому відбуваються обчислення.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Було описано формули Зельмеєра, за допомогою яких визначаються коефіцієнти Зельмеєра. Дано математичне обґрунтування формул, описано переходи, спрощення та фінальний варіант, який використовується в програмному забезпеченні цифрового оптичного спектрометра.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розрахунку коефіцієнтів екстинції та фазової компоненти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θ</w:t>
      </w:r>
      <w:r w:rsidDel="00000000" w:rsidR="00000000" w:rsidRPr="00000000">
        <w:rPr>
          <w:sz w:val="28"/>
          <w:szCs w:val="28"/>
          <w:rtl w:val="0"/>
        </w:rPr>
        <w:t xml:space="preserve">, використовувалися алгоритми чисельного інтегрування методом Трапецій. Схеми інтегрування, також, були представлені.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8" w:type="default"/>
      <w:pgSz w:h="16838" w:w="11906" w:orient="portrait"/>
      <w:pgMar w:bottom="1134" w:top="1134" w:left="1701" w:right="567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>
    <w:embedRegular w:fontKey="{00000000-0000-0000-0000-000000000000}" r:id="rId2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0D8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bidi="hi-IN" w:eastAsia="zh-CN" w:val="uk-U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O-normal" w:customStyle="1">
    <w:name w:val="LO-normal"/>
    <w:qFormat w:val="1"/>
    <w:rsid w:val="00820D86"/>
    <w:pPr>
      <w:spacing w:after="0" w:line="240" w:lineRule="auto"/>
    </w:pPr>
    <w:rPr>
      <w:rFonts w:ascii="Times New Roman" w:cs="Lohit Devanagari" w:eastAsia="Noto Serif CJK SC" w:hAnsi="Times New Roman"/>
      <w:sz w:val="24"/>
      <w:szCs w:val="24"/>
      <w:lang w:bidi="hi-IN" w:eastAsia="zh-CN" w:val="uk-UA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20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20D86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20D86"/>
    <w:rPr>
      <w:rFonts w:ascii="Times New Roman" w:cs="Mangal" w:eastAsia="Times New Roman" w:hAnsi="Times New Roman"/>
      <w:sz w:val="20"/>
      <w:szCs w:val="18"/>
      <w:lang w:bidi="hi-IN" w:eastAsia="zh-CN" w:val="uk-U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20D86"/>
    <w:rPr>
      <w:rFonts w:ascii="Tahoma" w:cs="Mangal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20D86"/>
    <w:rPr>
      <w:rFonts w:ascii="Tahoma" w:cs="Mangal" w:eastAsia="Times New Roman" w:hAnsi="Tahoma"/>
      <w:sz w:val="16"/>
      <w:szCs w:val="14"/>
      <w:lang w:bidi="hi-IN" w:eastAsia="zh-CN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9.bin"/><Relationship Id="rId22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12.wmf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9" Type="http://schemas.openxmlformats.org/officeDocument/2006/relationships/image" Target="media/image6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4.wmf"/><Relationship Id="rId5" Type="http://schemas.openxmlformats.org/officeDocument/2006/relationships/image" Target="media/image4.wmf"/><Relationship Id="rId29" Type="http://schemas.openxmlformats.org/officeDocument/2006/relationships/theme" Target="theme/theme1.xml"/><Relationship Id="rId6" Type="http://schemas.openxmlformats.org/officeDocument/2006/relationships/oleObject" Target="embeddings/oleObject4.bin"/><Relationship Id="rId7" Type="http://schemas.openxmlformats.org/officeDocument/2006/relationships/image" Target="media/image3.wmf"/><Relationship Id="rId8" Type="http://schemas.openxmlformats.org/officeDocument/2006/relationships/oleObject" Target="embeddings/oleObject3.bin"/><Relationship Id="rId31" Type="http://schemas.openxmlformats.org/officeDocument/2006/relationships/fontTable" Target="fontTable.xml"/><Relationship Id="rId30" Type="http://schemas.openxmlformats.org/officeDocument/2006/relationships/settings" Target="settings.xml"/><Relationship Id="rId33" Type="http://schemas.openxmlformats.org/officeDocument/2006/relationships/styles" Target="styles.xml"/><Relationship Id="rId11" Type="http://schemas.openxmlformats.org/officeDocument/2006/relationships/image" Target="media/image5.wmf"/><Relationship Id="rId32" Type="http://schemas.openxmlformats.org/officeDocument/2006/relationships/numbering" Target="numbering.xml"/><Relationship Id="rId10" Type="http://schemas.openxmlformats.org/officeDocument/2006/relationships/oleObject" Target="embeddings/oleObject6.bin"/><Relationship Id="rId35" Type="http://schemas.openxmlformats.org/officeDocument/2006/relationships/image" Target="media/image16.png"/><Relationship Id="rId13" Type="http://schemas.openxmlformats.org/officeDocument/2006/relationships/image" Target="media/image8.wmf"/><Relationship Id="rId34" Type="http://schemas.openxmlformats.org/officeDocument/2006/relationships/customXml" Target="../customXML/item1.xml"/><Relationship Id="rId12" Type="http://schemas.openxmlformats.org/officeDocument/2006/relationships/oleObject" Target="embeddings/oleObject5.bin"/><Relationship Id="rId15" Type="http://schemas.openxmlformats.org/officeDocument/2006/relationships/image" Target="media/image7.wmf"/><Relationship Id="rId37" Type="http://schemas.openxmlformats.org/officeDocument/2006/relationships/image" Target="media/image15.png"/><Relationship Id="rId14" Type="http://schemas.openxmlformats.org/officeDocument/2006/relationships/oleObject" Target="embeddings/oleObject8.bin"/><Relationship Id="rId36" Type="http://schemas.openxmlformats.org/officeDocument/2006/relationships/image" Target="media/image17.png"/><Relationship Id="rId17" Type="http://schemas.openxmlformats.org/officeDocument/2006/relationships/image" Target="media/image11.wmf"/><Relationship Id="rId16" Type="http://schemas.openxmlformats.org/officeDocument/2006/relationships/oleObject" Target="embeddings/oleObject7.bin"/><Relationship Id="rId38" Type="http://schemas.openxmlformats.org/officeDocument/2006/relationships/header" Target="header1.xml"/><Relationship Id="rId19" Type="http://schemas.openxmlformats.org/officeDocument/2006/relationships/image" Target="media/image9.wmf"/><Relationship Id="rId18" Type="http://schemas.openxmlformats.org/officeDocument/2006/relationships/oleObject" Target="embeddings/oleObject11.bin"/></Relationships>
</file>

<file path=word/_rels/fontTable.xml.rels><?xml version="1.0" encoding="UTF-8" standalone="yes"?><Relationships xmlns="http://schemas.openxmlformats.org/package/2006/relationships"><Relationship Id="rId29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yDdufFJWnBTQrKCbqZuxyok+/w==">AMUW2mWaMsEtoiBGV9U5IApPFTZM0uVYS0qSBLLsqHyx6ORxR4oyn3Xv6iGhoKHAn/W2QF1ZHe0XFgzpLAzMJDWTMuvA5LcPF3T/iDihTLn69gs2yIEEO7s=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2023-05-03T20:09:00Z</dcterms:created>
  <dc:creator>nik</dc:creator>
</cp:coreProperties>
</file>