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53" w:rsidRPr="004103FF" w:rsidRDefault="008438A5" w:rsidP="00410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03FF">
        <w:rPr>
          <w:rFonts w:ascii="Times New Roman" w:hAnsi="Times New Roman" w:cs="Times New Roman"/>
          <w:sz w:val="24"/>
          <w:szCs w:val="24"/>
        </w:rPr>
        <w:t>Non-invasive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prominent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diagnosing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diseases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pain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CA7623" w:rsidRPr="004103FF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03FF">
        <w:rPr>
          <w:rFonts w:ascii="Times New Roman" w:hAnsi="Times New Roman" w:cs="Times New Roman"/>
          <w:sz w:val="24"/>
          <w:szCs w:val="24"/>
        </w:rPr>
        <w:t xml:space="preserve">Особливо заслуговує увагу використання цієї техніки для визначення ацетону.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fatty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oxidation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diabetes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A1A45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A45" w:rsidRPr="004103FF">
        <w:rPr>
          <w:rFonts w:ascii="Times New Roman" w:hAnsi="Times New Roman" w:cs="Times New Roman"/>
          <w:sz w:val="24"/>
          <w:szCs w:val="24"/>
        </w:rPr>
        <w:t>ketoacidosis</w:t>
      </w:r>
      <w:proofErr w:type="spellEnd"/>
      <w:r w:rsidR="006A1A45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A45" w:rsidRPr="004103FF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="006A1A45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A45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A1A45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A45" w:rsidRPr="004103FF">
        <w:rPr>
          <w:rFonts w:ascii="Times New Roman" w:hAnsi="Times New Roman" w:cs="Times New Roman"/>
          <w:sz w:val="24"/>
          <w:szCs w:val="24"/>
        </w:rPr>
        <w:t>insulin</w:t>
      </w:r>
      <w:proofErr w:type="spellEnd"/>
      <w:r w:rsidR="006A1A45" w:rsidRPr="004103FF">
        <w:rPr>
          <w:rFonts w:ascii="Times New Roman" w:hAnsi="Times New Roman" w:cs="Times New Roman"/>
          <w:sz w:val="24"/>
          <w:szCs w:val="24"/>
        </w:rPr>
        <w:t xml:space="preserve"> [</w:t>
      </w:r>
      <w:r w:rsidR="007D76B5" w:rsidRPr="004103F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103FF">
        <w:rPr>
          <w:rFonts w:ascii="Times New Roman" w:hAnsi="Times New Roman" w:cs="Times New Roman"/>
          <w:sz w:val="24"/>
          <w:szCs w:val="24"/>
          <w:highlight w:val="cyan"/>
        </w:rPr>
        <w:t>].</w:t>
      </w:r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F2612C" w:rsidRPr="004103F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xcessive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circulating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03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ex</w:t>
      </w:r>
      <w:r w:rsidR="00F2612C" w:rsidRPr="004103FF">
        <w:rPr>
          <w:rFonts w:ascii="Times New Roman" w:hAnsi="Times New Roman" w:cs="Times New Roman"/>
          <w:sz w:val="24"/>
          <w:szCs w:val="24"/>
        </w:rPr>
        <w:t>creted</w:t>
      </w:r>
      <w:proofErr w:type="spellEnd"/>
      <w:proofErr w:type="gramEnd"/>
      <w:r w:rsidR="00F2612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2C" w:rsidRPr="004103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2C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2C" w:rsidRPr="004103FF">
        <w:rPr>
          <w:rFonts w:ascii="Times New Roman" w:hAnsi="Times New Roman" w:cs="Times New Roman"/>
          <w:sz w:val="24"/>
          <w:szCs w:val="24"/>
        </w:rPr>
        <w:t>lun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g. </w:t>
      </w:r>
      <w:r w:rsidR="00F2612C" w:rsidRPr="004103FF">
        <w:rPr>
          <w:rFonts w:ascii="Times New Roman" w:hAnsi="Times New Roman" w:cs="Times New Roman"/>
          <w:sz w:val="24"/>
          <w:szCs w:val="24"/>
        </w:rPr>
        <w:t xml:space="preserve">Проблема </w:t>
      </w:r>
      <w:proofErr w:type="spellStart"/>
      <w:r w:rsidR="00F2612C" w:rsidRPr="004103FF">
        <w:rPr>
          <w:rFonts w:ascii="Times New Roman" w:hAnsi="Times New Roman" w:cs="Times New Roman"/>
          <w:sz w:val="24"/>
          <w:szCs w:val="24"/>
          <w:lang w:val="en-US"/>
        </w:rPr>
        <w:t>його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612C" w:rsidRPr="004103FF">
        <w:rPr>
          <w:rFonts w:ascii="Times New Roman" w:hAnsi="Times New Roman" w:cs="Times New Roman"/>
          <w:sz w:val="24"/>
          <w:szCs w:val="24"/>
        </w:rPr>
        <w:t xml:space="preserve">визначення </w:t>
      </w:r>
      <w:proofErr w:type="spellStart"/>
      <w:r w:rsidR="00F2612C" w:rsidRPr="004103FF">
        <w:rPr>
          <w:rFonts w:ascii="Times New Roman" w:hAnsi="Times New Roman" w:cs="Times New Roman"/>
          <w:sz w:val="24"/>
          <w:szCs w:val="24"/>
        </w:rPr>
        <w:t>заключається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</w:rPr>
        <w:t xml:space="preserve"> в тому, що  </w:t>
      </w:r>
      <w:r w:rsidR="00F2612C" w:rsidRPr="004103F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igher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ranges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1.7 ppm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3.7 ppm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breath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diabetic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breath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typical</w:t>
      </w:r>
      <w:r w:rsidR="00F2612C" w:rsidRPr="004103FF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2C" w:rsidRPr="004103FF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2C" w:rsidRPr="004103FF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2C" w:rsidRPr="004103F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2612C" w:rsidRPr="004103FF">
        <w:rPr>
          <w:rFonts w:ascii="Times New Roman" w:hAnsi="Times New Roman" w:cs="Times New Roman"/>
          <w:sz w:val="24"/>
          <w:szCs w:val="24"/>
        </w:rPr>
        <w:t xml:space="preserve"> 0.8 ppm </w:t>
      </w:r>
      <w:r w:rsidR="00F2612C" w:rsidRPr="004103FF">
        <w:rPr>
          <w:rFonts w:ascii="Times New Roman" w:hAnsi="Times New Roman" w:cs="Times New Roman"/>
          <w:sz w:val="24"/>
          <w:szCs w:val="24"/>
          <w:highlight w:val="cyan"/>
        </w:rPr>
        <w:t>[</w:t>
      </w:r>
      <w:r w:rsidR="007D76B5" w:rsidRPr="004103FF">
        <w:rPr>
          <w:rFonts w:ascii="Times New Roman" w:hAnsi="Times New Roman" w:cs="Times New Roman"/>
          <w:sz w:val="24"/>
          <w:szCs w:val="24"/>
          <w:highlight w:val="cyan"/>
          <w:lang w:val="en-US"/>
        </w:rPr>
        <w:t>3</w:t>
      </w:r>
      <w:r w:rsidRPr="004103FF">
        <w:rPr>
          <w:rFonts w:ascii="Times New Roman" w:hAnsi="Times New Roman" w:cs="Times New Roman"/>
          <w:sz w:val="24"/>
          <w:szCs w:val="24"/>
          <w:highlight w:val="cyan"/>
        </w:rPr>
        <w:t>].</w:t>
      </w:r>
      <w:r w:rsidRPr="004103FF">
        <w:rPr>
          <w:rFonts w:ascii="Times New Roman" w:hAnsi="Times New Roman" w:cs="Times New Roman"/>
          <w:sz w:val="24"/>
          <w:szCs w:val="24"/>
        </w:rPr>
        <w:t xml:space="preserve"> Тому,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sensors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-ppm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non-invasive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monitors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diabetic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6B5" w:rsidRPr="004103FF">
        <w:rPr>
          <w:rFonts w:ascii="Times New Roman" w:hAnsi="Times New Roman" w:cs="Times New Roman"/>
          <w:sz w:val="24"/>
          <w:szCs w:val="24"/>
          <w:lang w:val="en-US"/>
        </w:rPr>
        <w:t>[4]</w:t>
      </w:r>
      <w:r w:rsidRPr="004103FF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:rsidR="00A3384D" w:rsidRPr="004103FF" w:rsidRDefault="00F2612C" w:rsidP="00410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F">
        <w:rPr>
          <w:rFonts w:ascii="Times New Roman" w:hAnsi="Times New Roman" w:cs="Times New Roman"/>
          <w:sz w:val="24"/>
          <w:szCs w:val="24"/>
        </w:rPr>
        <w:t>Для виявлення низьких концентрацій газу, в тому</w:t>
      </w:r>
      <w:r w:rsidR="003B1494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Pr="004103FF">
        <w:rPr>
          <w:rFonts w:ascii="Times New Roman" w:hAnsi="Times New Roman" w:cs="Times New Roman"/>
          <w:sz w:val="24"/>
          <w:szCs w:val="24"/>
        </w:rPr>
        <w:t>чи</w:t>
      </w:r>
      <w:r w:rsidR="003B1494" w:rsidRPr="004103FF">
        <w:rPr>
          <w:rFonts w:ascii="Times New Roman" w:hAnsi="Times New Roman" w:cs="Times New Roman"/>
          <w:sz w:val="24"/>
          <w:szCs w:val="24"/>
        </w:rPr>
        <w:t>с</w:t>
      </w:r>
      <w:r w:rsidRPr="004103FF">
        <w:rPr>
          <w:rFonts w:ascii="Times New Roman" w:hAnsi="Times New Roman" w:cs="Times New Roman"/>
          <w:sz w:val="24"/>
          <w:szCs w:val="24"/>
        </w:rPr>
        <w:t>лі ацетону,</w:t>
      </w:r>
      <w:r w:rsidR="005D6EC3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EE3CFC" w:rsidRPr="004103FF">
        <w:rPr>
          <w:rFonts w:ascii="Times New Roman" w:hAnsi="Times New Roman" w:cs="Times New Roman"/>
          <w:sz w:val="24"/>
          <w:szCs w:val="24"/>
        </w:rPr>
        <w:t xml:space="preserve">використовували сенсори засновані на методах </w:t>
      </w:r>
      <w:r w:rsidR="005D6EC3" w:rsidRPr="004103FF">
        <w:rPr>
          <w:rFonts w:ascii="Times New Roman" w:hAnsi="Times New Roman" w:cs="Times New Roman"/>
          <w:sz w:val="24"/>
          <w:szCs w:val="24"/>
        </w:rPr>
        <w:t>спектроскопії</w:t>
      </w:r>
      <w:r w:rsidR="00EE3CFC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7D76B5" w:rsidRPr="004103FF">
        <w:rPr>
          <w:rFonts w:ascii="Times New Roman" w:hAnsi="Times New Roman" w:cs="Times New Roman"/>
          <w:sz w:val="24"/>
          <w:szCs w:val="24"/>
          <w:lang w:val="ru-RU"/>
        </w:rPr>
        <w:t>[5,6]</w:t>
      </w:r>
      <w:r w:rsidR="00EE3CFC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5D6EC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45C" w:rsidRPr="004103FF">
        <w:rPr>
          <w:rFonts w:ascii="Times New Roman" w:hAnsi="Times New Roman" w:cs="Times New Roman"/>
          <w:sz w:val="24"/>
          <w:szCs w:val="24"/>
        </w:rPr>
        <w:t>photo-ionization</w:t>
      </w:r>
      <w:proofErr w:type="spellEnd"/>
      <w:r w:rsidR="005C14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45C" w:rsidRPr="004103FF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="007D76B5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7D76B5" w:rsidRPr="004103FF">
        <w:rPr>
          <w:rFonts w:ascii="Times New Roman" w:hAnsi="Times New Roman" w:cs="Times New Roman"/>
          <w:sz w:val="24"/>
          <w:szCs w:val="24"/>
          <w:lang w:val="ru-RU"/>
        </w:rPr>
        <w:t>[7]</w:t>
      </w:r>
      <w:r w:rsidR="005C145C" w:rsidRPr="004103FF">
        <w:rPr>
          <w:rFonts w:ascii="Times New Roman" w:hAnsi="Times New Roman" w:cs="Times New Roman"/>
          <w:sz w:val="24"/>
          <w:szCs w:val="24"/>
        </w:rPr>
        <w:t>.</w:t>
      </w:r>
      <w:r w:rsidR="005C14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EE3CFC" w:rsidRPr="004103FF">
        <w:rPr>
          <w:rFonts w:ascii="Times New Roman" w:hAnsi="Times New Roman" w:cs="Times New Roman"/>
          <w:sz w:val="24"/>
          <w:szCs w:val="24"/>
        </w:rPr>
        <w:t xml:space="preserve">Проте їх почали </w:t>
      </w:r>
      <w:r w:rsidR="005C145C" w:rsidRPr="004103FF">
        <w:rPr>
          <w:rFonts w:ascii="Times New Roman" w:hAnsi="Times New Roman" w:cs="Times New Roman"/>
          <w:sz w:val="24"/>
          <w:szCs w:val="24"/>
        </w:rPr>
        <w:t xml:space="preserve">витісняти більш зручні газові датчики, такі як  </w:t>
      </w:r>
      <w:proofErr w:type="spellStart"/>
      <w:r w:rsidR="005F0AC3" w:rsidRPr="004103FF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126FAA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126FAA" w:rsidRPr="004103FF">
        <w:rPr>
          <w:rFonts w:ascii="Times New Roman" w:hAnsi="Times New Roman" w:cs="Times New Roman"/>
          <w:sz w:val="24"/>
          <w:szCs w:val="24"/>
          <w:lang w:val="en-US"/>
        </w:rPr>
        <w:t>sensor</w:t>
      </w:r>
      <w:r w:rsidR="005F0AC3" w:rsidRPr="004103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F0AC3" w:rsidRPr="004103FF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="005F0AC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AC3" w:rsidRPr="004103FF">
        <w:rPr>
          <w:rFonts w:ascii="Times New Roman" w:hAnsi="Times New Roman" w:cs="Times New Roman"/>
          <w:sz w:val="24"/>
          <w:szCs w:val="24"/>
        </w:rPr>
        <w:t>nose</w:t>
      </w:r>
      <w:proofErr w:type="spellEnd"/>
      <w:r w:rsidR="005F0AC3" w:rsidRPr="004103FF">
        <w:rPr>
          <w:rFonts w:ascii="Times New Roman" w:hAnsi="Times New Roman" w:cs="Times New Roman"/>
          <w:sz w:val="24"/>
          <w:szCs w:val="24"/>
        </w:rPr>
        <w:t>)</w:t>
      </w:r>
      <w:r w:rsidR="005F0AC3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EE3CFC" w:rsidRPr="004103FF">
        <w:rPr>
          <w:rFonts w:ascii="Times New Roman" w:hAnsi="Times New Roman" w:cs="Times New Roman"/>
          <w:sz w:val="24"/>
          <w:szCs w:val="24"/>
        </w:rPr>
        <w:t xml:space="preserve"> [</w:t>
      </w:r>
      <w:r w:rsidR="007D76B5" w:rsidRPr="004103FF">
        <w:rPr>
          <w:rFonts w:ascii="Times New Roman" w:hAnsi="Times New Roman" w:cs="Times New Roman"/>
          <w:sz w:val="24"/>
          <w:szCs w:val="24"/>
        </w:rPr>
        <w:t>8,9</w:t>
      </w:r>
      <w:r w:rsidR="00EE3CFC" w:rsidRPr="004103FF">
        <w:rPr>
          <w:rFonts w:ascii="Times New Roman" w:hAnsi="Times New Roman" w:cs="Times New Roman"/>
          <w:sz w:val="24"/>
          <w:szCs w:val="24"/>
        </w:rPr>
        <w:t>]</w:t>
      </w:r>
      <w:r w:rsidR="00126FAA" w:rsidRPr="004103FF">
        <w:rPr>
          <w:rFonts w:ascii="Times New Roman" w:hAnsi="Times New Roman" w:cs="Times New Roman"/>
          <w:sz w:val="24"/>
          <w:szCs w:val="24"/>
        </w:rPr>
        <w:t xml:space="preserve">, </w:t>
      </w:r>
      <w:r w:rsidR="00EE3CFC" w:rsidRPr="004103FF">
        <w:rPr>
          <w:rFonts w:ascii="Times New Roman" w:hAnsi="Times New Roman" w:cs="Times New Roman"/>
          <w:sz w:val="24"/>
          <w:szCs w:val="24"/>
        </w:rPr>
        <w:t>датчики</w:t>
      </w:r>
      <w:r w:rsidR="00CB38EA" w:rsidRPr="004103FF">
        <w:rPr>
          <w:rFonts w:ascii="Times New Roman" w:hAnsi="Times New Roman" w:cs="Times New Roman"/>
          <w:sz w:val="24"/>
          <w:szCs w:val="24"/>
        </w:rPr>
        <w:t xml:space="preserve"> для визначення </w:t>
      </w:r>
      <w:r w:rsidR="005F0AC3" w:rsidRPr="004103FF">
        <w:rPr>
          <w:rFonts w:ascii="Times New Roman" w:hAnsi="Times New Roman" w:cs="Times New Roman"/>
          <w:sz w:val="24"/>
          <w:szCs w:val="24"/>
          <w:lang w:val="en-US"/>
        </w:rPr>
        <w:t>acetone</w:t>
      </w:r>
      <w:r w:rsidR="005F0AC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8EA" w:rsidRPr="004103F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CB38EA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8EA" w:rsidRPr="004103FF">
        <w:rPr>
          <w:rFonts w:ascii="Times New Roman" w:hAnsi="Times New Roman" w:cs="Times New Roman"/>
          <w:sz w:val="24"/>
          <w:szCs w:val="24"/>
        </w:rPr>
        <w:t>concentrations</w:t>
      </w:r>
      <w:proofErr w:type="spellEnd"/>
      <w:r w:rsidR="00126FAA" w:rsidRPr="004103FF">
        <w:rPr>
          <w:rFonts w:ascii="Times New Roman" w:hAnsi="Times New Roman" w:cs="Times New Roman"/>
          <w:sz w:val="24"/>
          <w:szCs w:val="24"/>
        </w:rPr>
        <w:t xml:space="preserve"> на основі semiconductor </w:t>
      </w:r>
      <w:proofErr w:type="spellStart"/>
      <w:r w:rsidR="00126FAA" w:rsidRPr="004103FF">
        <w:rPr>
          <w:rFonts w:ascii="Times New Roman" w:hAnsi="Times New Roman" w:cs="Times New Roman"/>
          <w:sz w:val="24"/>
          <w:szCs w:val="24"/>
        </w:rPr>
        <w:t>metal</w:t>
      </w:r>
      <w:proofErr w:type="spellEnd"/>
      <w:r w:rsidR="00126FAA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AA" w:rsidRPr="004103FF">
        <w:rPr>
          <w:rFonts w:ascii="Times New Roman" w:hAnsi="Times New Roman" w:cs="Times New Roman"/>
          <w:sz w:val="24"/>
          <w:szCs w:val="24"/>
        </w:rPr>
        <w:t>oxide</w:t>
      </w:r>
      <w:proofErr w:type="spellEnd"/>
      <w:r w:rsidR="00126FAA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AA" w:rsidRPr="004103FF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="00126FAA" w:rsidRPr="004103FF">
        <w:rPr>
          <w:rFonts w:ascii="Times New Roman" w:hAnsi="Times New Roman" w:cs="Times New Roman"/>
          <w:sz w:val="24"/>
          <w:szCs w:val="24"/>
        </w:rPr>
        <w:t xml:space="preserve"> sensors </w:t>
      </w:r>
      <w:r w:rsidR="007C687C" w:rsidRPr="004103FF">
        <w:rPr>
          <w:rFonts w:ascii="Times New Roman" w:hAnsi="Times New Roman" w:cs="Times New Roman"/>
          <w:sz w:val="24"/>
          <w:szCs w:val="24"/>
        </w:rPr>
        <w:t>[10, 11]</w:t>
      </w:r>
      <w:r w:rsidR="00470B5E"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470B5E" w:rsidRPr="004103FF">
        <w:rPr>
          <w:rFonts w:ascii="Times New Roman" w:hAnsi="Times New Roman" w:cs="Times New Roman"/>
          <w:sz w:val="24"/>
          <w:szCs w:val="24"/>
        </w:rPr>
        <w:t>semiconductor</w:t>
      </w:r>
      <w:r w:rsidR="00CA3E89" w:rsidRPr="004103F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metal-oxide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sensors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в умовах низької концентрації.  </w:t>
      </w:r>
    </w:p>
    <w:p w:rsidR="00CA3E89" w:rsidRPr="004103FF" w:rsidRDefault="00CA3E89" w:rsidP="00410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3FF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Acetone sensing properties for various semiconductor/ metal-oxide based sensors </w:t>
      </w:r>
      <w:r w:rsidR="005F0417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  <w:lang w:val="en-US"/>
        </w:rPr>
        <w:t>умовах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  <w:lang w:val="en-US"/>
        </w:rPr>
        <w:t>низької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  <w:lang w:val="en-US"/>
        </w:rPr>
        <w:t>концентрації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3"/>
        <w:gridCol w:w="1496"/>
        <w:gridCol w:w="1576"/>
        <w:gridCol w:w="1136"/>
        <w:gridCol w:w="1502"/>
        <w:gridCol w:w="2596"/>
      </w:tblGrid>
      <w:tr w:rsidR="00527F61" w:rsidRPr="004103FF" w:rsidTr="005F0417">
        <w:tc>
          <w:tcPr>
            <w:tcW w:w="1174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  <w:proofErr w:type="spellEnd"/>
          </w:p>
        </w:tc>
        <w:tc>
          <w:tcPr>
            <w:tcW w:w="1459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Principle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53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Lowest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Concentration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Detected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(ppm)</w:t>
            </w:r>
          </w:p>
        </w:tc>
        <w:tc>
          <w:tcPr>
            <w:tcW w:w="1110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40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proofErr w:type="spellEnd"/>
            <w:r w:rsidR="00527F61"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7F61" w:rsidRPr="004103FF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°C</w:t>
            </w:r>
          </w:p>
        </w:tc>
        <w:tc>
          <w:tcPr>
            <w:tcW w:w="2942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Ссылка</w:t>
            </w:r>
          </w:p>
        </w:tc>
      </w:tr>
      <w:tr w:rsidR="00527F61" w:rsidRPr="004103FF" w:rsidTr="005F0417">
        <w:tc>
          <w:tcPr>
            <w:tcW w:w="1174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</w:p>
        </w:tc>
        <w:tc>
          <w:tcPr>
            <w:tcW w:w="1459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Resistance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spellEnd"/>
          </w:p>
        </w:tc>
        <w:tc>
          <w:tcPr>
            <w:tcW w:w="153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0.4 ppm</w:t>
            </w:r>
          </w:p>
        </w:tc>
        <w:tc>
          <w:tcPr>
            <w:tcW w:w="1110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1,090 s</w:t>
            </w:r>
          </w:p>
        </w:tc>
        <w:tc>
          <w:tcPr>
            <w:tcW w:w="140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150 </w:t>
            </w:r>
          </w:p>
        </w:tc>
        <w:tc>
          <w:tcPr>
            <w:tcW w:w="2942" w:type="dxa"/>
          </w:tcPr>
          <w:p w:rsidR="00815486" w:rsidRPr="004103FF" w:rsidRDefault="00027BF0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[4]</w:t>
            </w:r>
          </w:p>
        </w:tc>
      </w:tr>
      <w:tr w:rsidR="00527F61" w:rsidRPr="004103FF" w:rsidTr="005F0417">
        <w:tc>
          <w:tcPr>
            <w:tcW w:w="1174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SnO2</w:t>
            </w:r>
          </w:p>
        </w:tc>
        <w:tc>
          <w:tcPr>
            <w:tcW w:w="1459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Resistance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spellEnd"/>
          </w:p>
        </w:tc>
        <w:tc>
          <w:tcPr>
            <w:tcW w:w="153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ppm</w:t>
            </w:r>
            <w:proofErr w:type="spellEnd"/>
          </w:p>
        </w:tc>
        <w:tc>
          <w:tcPr>
            <w:tcW w:w="1110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3.33</w:t>
            </w:r>
          </w:p>
        </w:tc>
        <w:tc>
          <w:tcPr>
            <w:tcW w:w="140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</w:t>
            </w:r>
          </w:p>
        </w:tc>
        <w:tc>
          <w:tcPr>
            <w:tcW w:w="2942" w:type="dxa"/>
          </w:tcPr>
          <w:p w:rsidR="00815486" w:rsidRPr="004103FF" w:rsidRDefault="00027BF0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</w:tr>
      <w:tr w:rsidR="00527F61" w:rsidRPr="004103FF" w:rsidTr="005F0417">
        <w:tc>
          <w:tcPr>
            <w:tcW w:w="1174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SnO2–TiO2</w:t>
            </w:r>
          </w:p>
        </w:tc>
        <w:tc>
          <w:tcPr>
            <w:tcW w:w="1459" w:type="dxa"/>
          </w:tcPr>
          <w:p w:rsidR="00815486" w:rsidRPr="004103FF" w:rsidRDefault="004103FF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Resistance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spellEnd"/>
          </w:p>
        </w:tc>
        <w:tc>
          <w:tcPr>
            <w:tcW w:w="153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</w:t>
            </w:r>
          </w:p>
        </w:tc>
        <w:tc>
          <w:tcPr>
            <w:tcW w:w="1110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40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942" w:type="dxa"/>
          </w:tcPr>
          <w:p w:rsidR="00815486" w:rsidRPr="004103FF" w:rsidRDefault="00027BF0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[13]</w:t>
            </w:r>
          </w:p>
        </w:tc>
      </w:tr>
      <w:tr w:rsidR="00527F61" w:rsidRPr="004103FF" w:rsidTr="005F0417">
        <w:tc>
          <w:tcPr>
            <w:tcW w:w="1174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/WO3</w:t>
            </w:r>
          </w:p>
        </w:tc>
        <w:tc>
          <w:tcPr>
            <w:tcW w:w="1459" w:type="dxa"/>
          </w:tcPr>
          <w:p w:rsidR="005F0417" w:rsidRPr="004103FF" w:rsidRDefault="005F0417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Resistance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nanoparticles</w:t>
            </w:r>
          </w:p>
        </w:tc>
        <w:tc>
          <w:tcPr>
            <w:tcW w:w="1537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10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7.3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/R</w:t>
            </w:r>
          </w:p>
        </w:tc>
        <w:tc>
          <w:tcPr>
            <w:tcW w:w="1407" w:type="dxa"/>
          </w:tcPr>
          <w:p w:rsidR="00815486" w:rsidRPr="004103FF" w:rsidRDefault="005F0417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942" w:type="dxa"/>
          </w:tcPr>
          <w:p w:rsidR="00815486" w:rsidRPr="004103FF" w:rsidRDefault="00027BF0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[14]</w:t>
            </w:r>
          </w:p>
        </w:tc>
      </w:tr>
      <w:tr w:rsidR="00527F61" w:rsidRPr="004103FF" w:rsidTr="005F0417">
        <w:tc>
          <w:tcPr>
            <w:tcW w:w="1174" w:type="dxa"/>
          </w:tcPr>
          <w:p w:rsidR="00815486" w:rsidRPr="004103FF" w:rsidRDefault="00815486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SnO2/SiO</w:t>
            </w:r>
            <w:r w:rsidR="00527F61" w:rsidRPr="004103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9" w:type="dxa"/>
          </w:tcPr>
          <w:p w:rsidR="00815486" w:rsidRPr="004103FF" w:rsidRDefault="005F0417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Resistance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spellEnd"/>
          </w:p>
        </w:tc>
        <w:tc>
          <w:tcPr>
            <w:tcW w:w="1537" w:type="dxa"/>
          </w:tcPr>
          <w:p w:rsidR="00815486" w:rsidRPr="004103FF" w:rsidRDefault="005F0417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110" w:type="dxa"/>
          </w:tcPr>
          <w:p w:rsidR="00815486" w:rsidRPr="004103FF" w:rsidRDefault="00527F61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2193.7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Rg</w:t>
            </w:r>
            <w:proofErr w:type="spellEnd"/>
          </w:p>
        </w:tc>
        <w:tc>
          <w:tcPr>
            <w:tcW w:w="1407" w:type="dxa"/>
          </w:tcPr>
          <w:p w:rsidR="00815486" w:rsidRPr="004103FF" w:rsidRDefault="00527F61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942" w:type="dxa"/>
          </w:tcPr>
          <w:p w:rsidR="00815486" w:rsidRPr="004103FF" w:rsidRDefault="003E0EAA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[15]</w:t>
            </w:r>
          </w:p>
        </w:tc>
      </w:tr>
      <w:tr w:rsidR="00F70C5C" w:rsidRPr="004103FF" w:rsidTr="005F0417">
        <w:tc>
          <w:tcPr>
            <w:tcW w:w="1174" w:type="dxa"/>
          </w:tcPr>
          <w:p w:rsidR="00F70C5C" w:rsidRPr="004103FF" w:rsidRDefault="00F70C5C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SnO2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ﬁlm</w:t>
            </w:r>
            <w:proofErr w:type="spellEnd"/>
          </w:p>
        </w:tc>
        <w:tc>
          <w:tcPr>
            <w:tcW w:w="1459" w:type="dxa"/>
          </w:tcPr>
          <w:p w:rsidR="00F70C5C" w:rsidRPr="004103FF" w:rsidRDefault="004103FF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Resistance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proofErr w:type="spellEnd"/>
          </w:p>
        </w:tc>
        <w:tc>
          <w:tcPr>
            <w:tcW w:w="1537" w:type="dxa"/>
          </w:tcPr>
          <w:p w:rsidR="00F70C5C" w:rsidRPr="004103FF" w:rsidRDefault="00F70C5C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0" w:type="dxa"/>
          </w:tcPr>
          <w:p w:rsidR="00F70C5C" w:rsidRPr="004103FF" w:rsidRDefault="00F70C5C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07" w:type="dxa"/>
          </w:tcPr>
          <w:p w:rsidR="00F70C5C" w:rsidRPr="004103FF" w:rsidRDefault="00F70C5C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3FF">
              <w:rPr>
                <w:rFonts w:ascii="Times New Roman" w:hAnsi="Times New Roman" w:cs="Times New Roman"/>
                <w:sz w:val="24"/>
                <w:szCs w:val="24"/>
              </w:rPr>
              <w:t>temperatur</w:t>
            </w:r>
            <w:proofErr w:type="spellEnd"/>
          </w:p>
        </w:tc>
        <w:tc>
          <w:tcPr>
            <w:tcW w:w="2942" w:type="dxa"/>
          </w:tcPr>
          <w:p w:rsidR="00F70C5C" w:rsidRPr="004103FF" w:rsidRDefault="003E0EAA" w:rsidP="004103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[16]</w:t>
            </w:r>
          </w:p>
        </w:tc>
      </w:tr>
    </w:tbl>
    <w:p w:rsidR="00470B5E" w:rsidRPr="004103FF" w:rsidRDefault="00815486" w:rsidP="00410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F">
        <w:rPr>
          <w:rFonts w:ascii="Times New Roman" w:hAnsi="Times New Roman" w:cs="Times New Roman"/>
          <w:sz w:val="24"/>
          <w:szCs w:val="24"/>
        </w:rPr>
        <w:t>Ra/Rg—electricalresistanceunderexposuretoairandtargetgas(acetone),respectively.</w:t>
      </w:r>
    </w:p>
    <w:p w:rsidR="00126FAA" w:rsidRPr="004103FF" w:rsidRDefault="00126FAA" w:rsidP="00410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semiconductor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metal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oxides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sensors, SnO</w:t>
      </w:r>
      <w:r w:rsidRPr="004103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considerable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5E" w:rsidRPr="004103FF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470B5E"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R =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equaled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20.18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300 ◦C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50 ppm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[</w:t>
      </w:r>
      <w:r w:rsidR="00D3535A" w:rsidRPr="004103FF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5F0417" w:rsidRPr="004103FF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[</w:t>
      </w:r>
      <w:r w:rsidR="00D3535A" w:rsidRPr="004103FF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5F0417" w:rsidRPr="004103F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sensors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2D C3N4-SnO</w:t>
      </w:r>
      <w:r w:rsidR="005F0417" w:rsidRPr="004103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0417"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deﬁned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V</w:t>
      </w:r>
      <w:r w:rsidR="005F0417" w:rsidRPr="004103FF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V</w:t>
      </w:r>
      <w:r w:rsidR="005F0417" w:rsidRPr="004103F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Vg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voltages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exposure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380◦C,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20 ppm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87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3F7128" w:rsidRPr="004103F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F0417" w:rsidRPr="004103FF">
        <w:rPr>
          <w:rFonts w:ascii="Times New Roman" w:hAnsi="Times New Roman" w:cs="Times New Roman"/>
          <w:sz w:val="24"/>
          <w:szCs w:val="24"/>
        </w:rPr>
        <w:t>.</w:t>
      </w:r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Yanping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observed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sensing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50 ppm.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5 ppm, 10 ppm, 20 ppm,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50 ppm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acetone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abruptly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5.043, 7.221, 10.6,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70C5C" w:rsidRPr="004103FF">
        <w:rPr>
          <w:rFonts w:ascii="Times New Roman" w:hAnsi="Times New Roman" w:cs="Times New Roman"/>
          <w:sz w:val="24"/>
          <w:szCs w:val="24"/>
        </w:rPr>
        <w:t xml:space="preserve"> 16.898, </w:t>
      </w:r>
      <w:proofErr w:type="spellStart"/>
      <w:r w:rsidR="00F70C5C" w:rsidRPr="004103FF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="003F7128" w:rsidRPr="004103FF">
        <w:rPr>
          <w:rFonts w:ascii="Times New Roman" w:hAnsi="Times New Roman" w:cs="Times New Roman"/>
          <w:sz w:val="24"/>
          <w:szCs w:val="24"/>
        </w:rPr>
        <w:t xml:space="preserve"> [</w:t>
      </w:r>
      <w:r w:rsidR="003F7128" w:rsidRPr="004103FF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3F7128" w:rsidRPr="004103FF">
        <w:rPr>
          <w:rFonts w:ascii="Times New Roman" w:hAnsi="Times New Roman" w:cs="Times New Roman"/>
          <w:sz w:val="24"/>
          <w:szCs w:val="24"/>
        </w:rPr>
        <w:t>]</w:t>
      </w:r>
      <w:r w:rsidR="00F70C5C" w:rsidRPr="004103FF">
        <w:rPr>
          <w:rFonts w:ascii="Times New Roman" w:hAnsi="Times New Roman" w:cs="Times New Roman"/>
          <w:sz w:val="24"/>
          <w:szCs w:val="24"/>
        </w:rPr>
        <w:t>.</w:t>
      </w:r>
    </w:p>
    <w:p w:rsidR="00095F7D" w:rsidRPr="004103FF" w:rsidRDefault="009F404A" w:rsidP="004103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3FF">
        <w:rPr>
          <w:rFonts w:ascii="Times New Roman" w:hAnsi="Times New Roman" w:cs="Times New Roman"/>
          <w:sz w:val="24"/>
          <w:szCs w:val="24"/>
        </w:rPr>
        <w:t>Починаючи з 1983 року активно почали вивчати сенсори на основі полімеру</w:t>
      </w:r>
      <w:r w:rsidR="003F7128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3F7128" w:rsidRPr="004103FF">
        <w:rPr>
          <w:rFonts w:ascii="Times New Roman" w:hAnsi="Times New Roman" w:cs="Times New Roman"/>
          <w:sz w:val="24"/>
          <w:szCs w:val="24"/>
          <w:lang w:val="ru-RU"/>
        </w:rPr>
        <w:t>[20]</w:t>
      </w:r>
      <w:r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sensors,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metal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oxides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operated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temperatures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sensors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polymers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="003F7128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3F7128" w:rsidRPr="004103FF">
        <w:rPr>
          <w:rFonts w:ascii="Times New Roman" w:hAnsi="Times New Roman" w:cs="Times New Roman"/>
          <w:sz w:val="24"/>
          <w:szCs w:val="24"/>
          <w:lang w:val="en-US"/>
        </w:rPr>
        <w:t>[21]</w:t>
      </w:r>
      <w:r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sensitivities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feathers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polymers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synthesized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chemical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electrochemical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molecular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conveniently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copolymerization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derivations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polymers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facile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fabrication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03FF">
        <w:rPr>
          <w:rFonts w:ascii="Times New Roman" w:hAnsi="Times New Roman" w:cs="Times New Roman"/>
          <w:sz w:val="24"/>
          <w:szCs w:val="24"/>
        </w:rPr>
        <w:t xml:space="preserve"> sensors</w:t>
      </w:r>
      <w:r w:rsidR="003F7128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3F7128" w:rsidRPr="004103FF">
        <w:rPr>
          <w:rFonts w:ascii="Times New Roman" w:hAnsi="Times New Roman" w:cs="Times New Roman"/>
          <w:sz w:val="24"/>
          <w:szCs w:val="24"/>
          <w:lang w:val="en-US"/>
        </w:rPr>
        <w:t>[22, 23]</w:t>
      </w:r>
      <w:r w:rsidRPr="004103FF">
        <w:rPr>
          <w:rFonts w:ascii="Times New Roman" w:hAnsi="Times New Roman" w:cs="Times New Roman"/>
          <w:sz w:val="24"/>
          <w:szCs w:val="24"/>
        </w:rPr>
        <w:t>.</w:t>
      </w:r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polymer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poly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E34" w:rsidRPr="004103FF">
        <w:rPr>
          <w:rFonts w:ascii="Times New Roman" w:hAnsi="Times New Roman" w:cs="Times New Roman"/>
          <w:sz w:val="24"/>
          <w:szCs w:val="24"/>
        </w:rPr>
        <w:t>(3,4-ethyl</w:t>
      </w:r>
      <w:r w:rsidR="005F0417" w:rsidRPr="004103FF">
        <w:rPr>
          <w:rFonts w:ascii="Times New Roman" w:hAnsi="Times New Roman" w:cs="Times New Roman"/>
          <w:sz w:val="24"/>
          <w:szCs w:val="24"/>
        </w:rPr>
        <w:t xml:space="preserve">enedioxythiophene)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doped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poly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417" w:rsidRPr="00410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styrene</w:t>
      </w:r>
      <w:proofErr w:type="spellEnd"/>
      <w:r w:rsidR="00E51E34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sulfonate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>)(PEDOT:PSS),a</w:t>
      </w:r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5F041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aqueous</w:t>
      </w:r>
      <w:proofErr w:type="spellEnd"/>
      <w:r w:rsidR="003E2EB9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17" w:rsidRPr="004103FF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="00983347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[24]</w:t>
      </w:r>
      <w:r w:rsidR="00C37608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7608" w:rsidRPr="004103FF">
        <w:rPr>
          <w:rFonts w:ascii="Times New Roman" w:hAnsi="Times New Roman" w:cs="Times New Roman"/>
          <w:sz w:val="24"/>
          <w:szCs w:val="24"/>
        </w:rPr>
        <w:t xml:space="preserve">Сенсори на основі </w:t>
      </w:r>
      <w:r w:rsidR="00C37608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PEDOT:PSS/PVP </w:t>
      </w:r>
      <w:proofErr w:type="spellStart"/>
      <w:r w:rsidR="00C37608" w:rsidRPr="004103FF">
        <w:rPr>
          <w:rFonts w:ascii="Times New Roman" w:hAnsi="Times New Roman" w:cs="Times New Roman"/>
          <w:sz w:val="24"/>
          <w:szCs w:val="24"/>
          <w:lang w:val="en-US"/>
        </w:rPr>
        <w:t>nanofibers</w:t>
      </w:r>
      <w:proofErr w:type="spellEnd"/>
      <w:r w:rsidR="00C37608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осліджували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начутливість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до </w:t>
      </w:r>
      <w:r w:rsidR="00AC39F7" w:rsidRPr="004103FF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983347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9F7" w:rsidRPr="004103FF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AC39F7" w:rsidRPr="004103FF">
        <w:rPr>
          <w:rFonts w:ascii="Times New Roman" w:hAnsi="Times New Roman" w:cs="Times New Roman"/>
          <w:sz w:val="24"/>
          <w:szCs w:val="24"/>
        </w:rPr>
        <w:t xml:space="preserve">. Показано, що </w:t>
      </w:r>
      <w:r w:rsidR="00C37608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PEDOT:PSS/PVP </w:t>
      </w:r>
      <w:proofErr w:type="spellStart"/>
      <w:r w:rsidR="00C37608" w:rsidRPr="004103FF">
        <w:rPr>
          <w:rFonts w:ascii="Times New Roman" w:hAnsi="Times New Roman" w:cs="Times New Roman"/>
          <w:sz w:val="24"/>
          <w:szCs w:val="24"/>
          <w:lang w:val="en-US"/>
        </w:rPr>
        <w:t>nanofiber</w:t>
      </w:r>
      <w:proofErr w:type="spellEnd"/>
      <w:r w:rsidR="00C37608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membrane was sensitive to low concentration(5–50ppm)</w:t>
      </w:r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AC39F7" w:rsidRPr="004103FF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AC39F7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gas </w:t>
      </w:r>
      <w:r w:rsidR="00AC39F7" w:rsidRPr="004103FF">
        <w:rPr>
          <w:rFonts w:ascii="Times New Roman" w:hAnsi="Times New Roman" w:cs="Times New Roman"/>
          <w:sz w:val="24"/>
          <w:szCs w:val="24"/>
        </w:rPr>
        <w:t>при відгуку 50 с.</w:t>
      </w:r>
      <w:r w:rsidR="00CB22CC" w:rsidRPr="004103FF">
        <w:rPr>
          <w:rFonts w:ascii="Times New Roman" w:hAnsi="Times New Roman" w:cs="Times New Roman"/>
          <w:sz w:val="24"/>
          <w:szCs w:val="24"/>
          <w:lang w:val="en-US"/>
        </w:rPr>
        <w:t>[25]</w:t>
      </w:r>
      <w:r w:rsidR="00AC39F7"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Yotsarayuth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Seekaew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low-cost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inkjet-printing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lastRenderedPageBreak/>
        <w:t>technique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fabricating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graphene–</w:t>
      </w:r>
      <w:proofErr w:type="gramStart"/>
      <w:r w:rsidR="00AC39F7" w:rsidRPr="004103FF">
        <w:rPr>
          <w:rFonts w:ascii="Times New Roman" w:hAnsi="Times New Roman" w:cs="Times New Roman"/>
          <w:sz w:val="24"/>
          <w:szCs w:val="24"/>
        </w:rPr>
        <w:t>poly(</w:t>
      </w:r>
      <w:proofErr w:type="gram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3,4-ethylenedioxythio-phene):poly(styrenesulfonate) (PEDOT:PSS)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composite</w:t>
      </w:r>
      <w:proofErr w:type="spellEnd"/>
      <w:r w:rsidR="00AC39F7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hAnsi="Times New Roman" w:cs="Times New Roman"/>
          <w:sz w:val="24"/>
          <w:szCs w:val="24"/>
        </w:rPr>
        <w:t>film</w:t>
      </w:r>
      <w:proofErr w:type="spellEnd"/>
      <w:r w:rsidR="00CB22CC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CB22CC" w:rsidRPr="004103FF">
        <w:rPr>
          <w:rFonts w:ascii="Times New Roman" w:hAnsi="Times New Roman" w:cs="Times New Roman"/>
          <w:sz w:val="24"/>
          <w:szCs w:val="24"/>
          <w:lang w:val="en-US"/>
        </w:rPr>
        <w:t>[26]</w:t>
      </w:r>
      <w:r w:rsidR="00AC39F7" w:rsidRPr="00410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ink-jet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printed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graphene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–PEDOT:PSS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gas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sensor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exhibits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selectivity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NH</w:t>
      </w:r>
      <w:r w:rsidR="00AC39F7" w:rsidRPr="004103FF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concentration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25–1000 ppm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room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temperature</w:t>
      </w:r>
      <w:proofErr w:type="spellEnd"/>
      <w:r w:rsidR="00AC39F7" w:rsidRPr="004103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F70C5C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623" w:rsidRPr="004103FF">
        <w:rPr>
          <w:rFonts w:ascii="Times New Roman" w:hAnsi="Times New Roman" w:cs="Times New Roman"/>
          <w:sz w:val="24"/>
          <w:szCs w:val="24"/>
        </w:rPr>
        <w:t>(PEDOT/PSS)-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nanowires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sensors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exposed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methanol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ethanol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acetone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vapor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nanowire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shows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rapid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A7623" w:rsidRPr="004103FF">
        <w:rPr>
          <w:rFonts w:ascii="Cambria Math" w:eastAsia="Times New Roman" w:hAnsi="Cambria Math" w:cs="Cambria Math"/>
          <w:sz w:val="24"/>
          <w:szCs w:val="24"/>
        </w:rPr>
        <w:t>∼</w:t>
      </w:r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30 s),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reversible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responses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analytes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rapid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recovery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baseline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exposed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air</w:t>
      </w:r>
      <w:proofErr w:type="spellEnd"/>
      <w:r w:rsidR="00CA7623" w:rsidRPr="004103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A7623" w:rsidRPr="004103FF">
        <w:rPr>
          <w:rFonts w:ascii="Times New Roman" w:hAnsi="Times New Roman" w:cs="Times New Roman"/>
          <w:sz w:val="24"/>
          <w:szCs w:val="24"/>
        </w:rPr>
        <w:t xml:space="preserve"> </w:t>
      </w:r>
      <w:r w:rsidR="00CA7623" w:rsidRPr="004103F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polymer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conductivity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11.5 ± 0.7 S cm−1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27.6 ± 4 k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CA7623" w:rsidRPr="00410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23" w:rsidRPr="004103FF">
        <w:rPr>
          <w:rFonts w:ascii="Times New Roman" w:hAnsi="Times New Roman" w:cs="Times New Roman"/>
          <w:sz w:val="24"/>
          <w:szCs w:val="24"/>
        </w:rPr>
        <w:t>inferred</w:t>
      </w:r>
      <w:proofErr w:type="spellEnd"/>
      <w:r w:rsidR="00CB22CC" w:rsidRPr="004103FF">
        <w:rPr>
          <w:rFonts w:ascii="Times New Roman" w:hAnsi="Times New Roman" w:cs="Times New Roman"/>
          <w:sz w:val="24"/>
          <w:szCs w:val="24"/>
          <w:lang w:val="en-US"/>
        </w:rPr>
        <w:t xml:space="preserve"> [27]</w:t>
      </w:r>
    </w:p>
    <w:p w:rsidR="00CA7623" w:rsidRPr="004103FF" w:rsidRDefault="00CA7623" w:rsidP="004103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3FF">
        <w:rPr>
          <w:rFonts w:ascii="Times New Roman" w:eastAsia="Times New Roman" w:hAnsi="Times New Roman" w:cs="Times New Roman"/>
          <w:sz w:val="24"/>
          <w:szCs w:val="24"/>
          <w:lang w:val="en-US"/>
        </w:rPr>
        <w:t>References</w:t>
      </w:r>
    </w:p>
    <w:p w:rsidR="00CA7623" w:rsidRDefault="00CA7623" w:rsidP="00F261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[1] </w:t>
      </w:r>
      <w:r w:rsidRPr="00CA7623">
        <w:rPr>
          <w:rFonts w:ascii="Times New Roman" w:hAnsi="Times New Roman" w:cs="Times New Roman"/>
          <w:sz w:val="28"/>
          <w:szCs w:val="28"/>
          <w:highlight w:val="cyan"/>
          <w:lang w:val="en-US"/>
        </w:rPr>
        <w:t>DOI: 10.21307/ijssis-2017-805</w:t>
      </w:r>
    </w:p>
    <w:p w:rsidR="007D76B5" w:rsidRDefault="007D76B5" w:rsidP="00F261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hyperlink r:id="rId5" w:tgtFrame="_blank" w:tooltip="Persistent link using digital object identifier" w:history="1">
        <w:r w:rsidRPr="00CA7623">
          <w:rPr>
            <w:rStyle w:val="a3"/>
            <w:rFonts w:ascii="Times New Roman" w:hAnsi="Times New Roman" w:cs="Times New Roman"/>
            <w:color w:val="auto"/>
            <w:sz w:val="28"/>
            <w:szCs w:val="28"/>
            <w:highlight w:val="cyan"/>
            <w:u w:val="none"/>
          </w:rPr>
          <w:t>https://doi.org/10.1016/j.bios.2015.04.023</w:t>
        </w:r>
      </w:hyperlink>
    </w:p>
    <w:p w:rsidR="007D76B5" w:rsidRDefault="007D76B5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hyperlink r:id="rId6" w:tgtFrame="_blank" w:tooltip="Persistent link using digital object identifier" w:history="1">
        <w:r w:rsidRPr="00CA7623">
          <w:rPr>
            <w:rStyle w:val="a3"/>
            <w:rFonts w:ascii="Times New Roman" w:hAnsi="Times New Roman" w:cs="Times New Roman"/>
            <w:color w:val="auto"/>
            <w:sz w:val="28"/>
            <w:szCs w:val="28"/>
            <w:highlight w:val="cyan"/>
            <w:u w:val="none"/>
          </w:rPr>
          <w:t>https://doi.org/10.1016/j.jchromb.2004.08.013</w:t>
        </w:r>
      </w:hyperlink>
    </w:p>
    <w:p w:rsidR="007D76B5" w:rsidRDefault="007D76B5" w:rsidP="00F261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proofErr w:type="gramStart"/>
      <w:r w:rsidRPr="00CA7623">
        <w:rPr>
          <w:rFonts w:ascii="Times New Roman" w:hAnsi="Times New Roman" w:cs="Times New Roman"/>
          <w:sz w:val="28"/>
          <w:szCs w:val="28"/>
          <w:highlight w:val="cyan"/>
          <w:lang w:val="en-US"/>
        </w:rPr>
        <w:t>doi:</w:t>
      </w:r>
      <w:proofErr w:type="gramEnd"/>
      <w:r w:rsidRPr="00CA7623">
        <w:rPr>
          <w:rFonts w:ascii="Times New Roman" w:hAnsi="Times New Roman" w:cs="Times New Roman"/>
          <w:sz w:val="28"/>
          <w:szCs w:val="28"/>
          <w:highlight w:val="cyan"/>
          <w:lang w:val="en-US"/>
        </w:rPr>
        <w:t>10.3390/s120607157</w:t>
      </w:r>
    </w:p>
    <w:p w:rsidR="007D76B5" w:rsidRDefault="007D76B5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</w:instrText>
      </w:r>
      <w:r w:rsidRPr="007D76B5">
        <w:rPr>
          <w:rFonts w:ascii="Times New Roman" w:hAnsi="Times New Roman" w:cs="Times New Roman"/>
          <w:sz w:val="28"/>
          <w:szCs w:val="28"/>
        </w:rPr>
        <w:instrText>ttps://doi.org/10.1016/j.ijms.2010.06.01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9327E2">
        <w:rPr>
          <w:rStyle w:val="a3"/>
          <w:rFonts w:ascii="Times New Roman" w:hAnsi="Times New Roman" w:cs="Times New Roman"/>
          <w:sz w:val="28"/>
          <w:szCs w:val="28"/>
          <w:lang w:val="en-US"/>
        </w:rPr>
        <w:t>h</w:t>
      </w:r>
      <w:r w:rsidRPr="009327E2">
        <w:rPr>
          <w:rStyle w:val="a3"/>
          <w:rFonts w:ascii="Times New Roman" w:hAnsi="Times New Roman" w:cs="Times New Roman"/>
          <w:sz w:val="28"/>
          <w:szCs w:val="28"/>
        </w:rPr>
        <w:t>ttps://doi.org/10.1016/j.ijms.2010.06.01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7D76B5" w:rsidRDefault="007D76B5" w:rsidP="00F261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6B5">
        <w:rPr>
          <w:rFonts w:ascii="Times New Roman" w:hAnsi="Times New Roman" w:cs="Times New Roman"/>
          <w:sz w:val="28"/>
          <w:szCs w:val="28"/>
        </w:rPr>
        <w:t>[6]</w:t>
      </w:r>
      <w:hyperlink r:id="rId7" w:history="1">
        <w:r w:rsidRPr="007D76B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327E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D76B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doi</w:t>
        </w:r>
        <w:proofErr w:type="spellEnd"/>
        <w:r w:rsidRPr="009327E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D76B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327E2">
          <w:rPr>
            <w:rStyle w:val="a3"/>
            <w:rFonts w:ascii="Times New Roman" w:hAnsi="Times New Roman" w:cs="Times New Roman"/>
            <w:sz w:val="28"/>
            <w:szCs w:val="28"/>
          </w:rPr>
          <w:t>/10.1016/</w:t>
        </w:r>
        <w:r w:rsidRPr="007D76B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9327E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D76B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chroma</w:t>
        </w:r>
        <w:proofErr w:type="spellEnd"/>
        <w:r w:rsidRPr="009327E2">
          <w:rPr>
            <w:rStyle w:val="a3"/>
            <w:rFonts w:ascii="Times New Roman" w:hAnsi="Times New Roman" w:cs="Times New Roman"/>
            <w:sz w:val="28"/>
            <w:szCs w:val="28"/>
          </w:rPr>
          <w:t>.2015.07.050</w:t>
        </w:r>
      </w:hyperlink>
    </w:p>
    <w:p w:rsidR="007D76B5" w:rsidRDefault="007D76B5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 w:rsidRPr="007D76B5">
        <w:rPr>
          <w:rFonts w:ascii="Times New Roman" w:hAnsi="Times New Roman" w:cs="Times New Roman"/>
          <w:sz w:val="28"/>
          <w:szCs w:val="28"/>
          <w:lang w:val="ru-RU"/>
        </w:rPr>
        <w:t>[7]</w:t>
      </w:r>
      <w:r w:rsidRPr="007D76B5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gtFrame="_blank" w:tooltip="Persistent link using digital object identifier" w:history="1">
        <w:r w:rsidRPr="00CA7623">
          <w:rPr>
            <w:rStyle w:val="a3"/>
            <w:rFonts w:ascii="Times New Roman" w:hAnsi="Times New Roman" w:cs="Times New Roman"/>
            <w:color w:val="E9711C"/>
            <w:sz w:val="28"/>
            <w:szCs w:val="28"/>
          </w:rPr>
          <w:t>https://doi.org/10.1016/j.snb.2006.07.003</w:t>
        </w:r>
      </w:hyperlink>
    </w:p>
    <w:p w:rsidR="007D76B5" w:rsidRDefault="007D76B5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 w:rsidRPr="007D76B5">
        <w:rPr>
          <w:rFonts w:ascii="Times New Roman" w:hAnsi="Times New Roman" w:cs="Times New Roman"/>
          <w:sz w:val="28"/>
          <w:szCs w:val="28"/>
        </w:rPr>
        <w:t>[8]</w:t>
      </w:r>
      <w:hyperlink r:id="rId9" w:history="1">
        <w:r w:rsidRPr="009327E2">
          <w:rPr>
            <w:rStyle w:val="a3"/>
            <w:rFonts w:ascii="Times New Roman" w:hAnsi="Times New Roman" w:cs="Times New Roman"/>
            <w:sz w:val="28"/>
            <w:szCs w:val="28"/>
          </w:rPr>
          <w:t>https://doi.org/10.1016/j.snb.2017.10.178</w:t>
        </w:r>
      </w:hyperlink>
    </w:p>
    <w:p w:rsidR="007D76B5" w:rsidRDefault="007D76B5" w:rsidP="00F2612C">
      <w:pPr>
        <w:jc w:val="both"/>
        <w:rPr>
          <w:rStyle w:val="meta-valu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[9]</w:t>
      </w:r>
      <w:r w:rsidRPr="00CA7623">
        <w:rPr>
          <w:rStyle w:val="meta-key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hyperlink r:id="rId10" w:tooltip="" w:history="1">
        <w:r w:rsidRPr="00CA7623">
          <w:rPr>
            <w:rStyle w:val="a3"/>
            <w:rFonts w:ascii="Times New Roman" w:hAnsi="Times New Roman" w:cs="Times New Roman"/>
            <w:color w:val="0073BB"/>
            <w:sz w:val="28"/>
            <w:szCs w:val="28"/>
          </w:rPr>
          <w:t>https://doi.org/10.5339/qfarc.2016.HBPP2776</w:t>
        </w:r>
      </w:hyperlink>
    </w:p>
    <w:p w:rsidR="007C687C" w:rsidRDefault="007C687C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 w:rsidRPr="007C687C">
        <w:rPr>
          <w:rStyle w:val="meta-valu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[10] </w:t>
      </w:r>
      <w:hyperlink r:id="rId11" w:tgtFrame="_blank" w:tooltip="Persistent link using digital object identifier" w:history="1">
        <w:r w:rsidRPr="00CA7623">
          <w:rPr>
            <w:rStyle w:val="a3"/>
            <w:rFonts w:ascii="Times New Roman" w:hAnsi="Times New Roman" w:cs="Times New Roman"/>
            <w:color w:val="0C7DBB"/>
            <w:sz w:val="28"/>
            <w:szCs w:val="28"/>
            <w:u w:val="none"/>
          </w:rPr>
          <w:t>https://doi.org/10.1016/j.jallcom.2016.11.298</w:t>
        </w:r>
      </w:hyperlink>
      <w:hyperlink r:id="rId12" w:tgtFrame="_blank" w:history="1">
        <w:r w:rsidRPr="00CA7623">
          <w:rPr>
            <w:rStyle w:val="a3"/>
            <w:rFonts w:ascii="Times New Roman" w:hAnsi="Times New Roman" w:cs="Times New Roman"/>
            <w:color w:val="0C7DBB"/>
            <w:sz w:val="28"/>
            <w:szCs w:val="28"/>
            <w:u w:val="none"/>
          </w:rPr>
          <w:t>Get</w:t>
        </w:r>
      </w:hyperlink>
    </w:p>
    <w:p w:rsidR="007C687C" w:rsidRDefault="007C687C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 w:rsidRPr="007C687C">
        <w:rPr>
          <w:rFonts w:ascii="Times New Roman" w:hAnsi="Times New Roman" w:cs="Times New Roman"/>
          <w:sz w:val="28"/>
          <w:szCs w:val="28"/>
        </w:rPr>
        <w:t>[11]</w:t>
      </w:r>
      <w:hyperlink r:id="rId13" w:history="1">
        <w:r w:rsidR="00027BF0" w:rsidRPr="009327E2">
          <w:rPr>
            <w:rStyle w:val="a3"/>
            <w:rFonts w:ascii="Times New Roman" w:hAnsi="Times New Roman" w:cs="Times New Roman"/>
            <w:sz w:val="28"/>
            <w:szCs w:val="28"/>
          </w:rPr>
          <w:t>https://doi.org/10.1016/j.snb.2016.06.171</w:t>
        </w:r>
      </w:hyperlink>
    </w:p>
    <w:p w:rsidR="00027BF0" w:rsidRDefault="00027BF0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[12] </w:t>
      </w:r>
      <w:r w:rsidRPr="00CA7623">
        <w:rPr>
          <w:rFonts w:ascii="Times New Roman" w:hAnsi="Times New Roman" w:cs="Times New Roman"/>
          <w:sz w:val="28"/>
          <w:szCs w:val="28"/>
        </w:rPr>
        <w:t>10.3390/s18103425</w:t>
      </w:r>
    </w:p>
    <w:p w:rsidR="00027BF0" w:rsidRDefault="00027BF0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[13] </w:t>
      </w:r>
      <w:r w:rsidRPr="00CA7623">
        <w:rPr>
          <w:rFonts w:ascii="Times New Roman" w:hAnsi="Times New Roman" w:cs="Times New Roman"/>
          <w:sz w:val="28"/>
          <w:szCs w:val="28"/>
        </w:rPr>
        <w:t>10.1016/j.physb.2009.11.086</w:t>
      </w:r>
    </w:p>
    <w:p w:rsidR="00027BF0" w:rsidRDefault="00027BF0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[14] </w:t>
      </w:r>
      <w:r w:rsidRPr="00CA7623">
        <w:rPr>
          <w:rFonts w:ascii="Times New Roman" w:hAnsi="Times New Roman" w:cs="Times New Roman"/>
          <w:sz w:val="28"/>
          <w:szCs w:val="28"/>
        </w:rPr>
        <w:t>10.1016/j.snb.2018.03.037</w:t>
      </w:r>
    </w:p>
    <w:p w:rsidR="003E0EAA" w:rsidRDefault="003E0EAA" w:rsidP="00F261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[15]</w:t>
      </w:r>
      <w:r w:rsidRPr="003E0EAA">
        <w:t xml:space="preserve"> </w:t>
      </w:r>
      <w:r w:rsidRPr="003E0EAA">
        <w:rPr>
          <w:rFonts w:ascii="Times New Roman" w:hAnsi="Times New Roman" w:cs="Times New Roman"/>
          <w:sz w:val="28"/>
          <w:szCs w:val="28"/>
          <w:lang w:val="en-US"/>
        </w:rPr>
        <w:t>10.1016/j.mssp.2017.06.002</w:t>
      </w:r>
    </w:p>
    <w:p w:rsidR="003E0EAA" w:rsidRDefault="003E0EAA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[16] </w:t>
      </w:r>
      <w:r w:rsidRPr="00CA7623">
        <w:rPr>
          <w:rFonts w:ascii="Times New Roman" w:hAnsi="Times New Roman" w:cs="Times New Roman"/>
          <w:sz w:val="28"/>
          <w:szCs w:val="28"/>
        </w:rPr>
        <w:t>10.1088/0953-8984/15/20/201</w:t>
      </w:r>
    </w:p>
    <w:p w:rsidR="00D3535A" w:rsidRDefault="00D3535A" w:rsidP="00F261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[17] </w:t>
      </w:r>
      <w:r w:rsidRPr="00D3535A">
        <w:rPr>
          <w:rFonts w:ascii="Times New Roman" w:hAnsi="Times New Roman" w:cs="Times New Roman"/>
          <w:sz w:val="28"/>
          <w:szCs w:val="28"/>
          <w:lang w:val="en-US"/>
        </w:rPr>
        <w:t>10.1016/j.materresbull.2018.02.006</w:t>
      </w:r>
    </w:p>
    <w:p w:rsidR="00D3535A" w:rsidRDefault="00D3535A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[18]</w:t>
      </w:r>
      <w:hyperlink r:id="rId14" w:tgtFrame="_blank" w:tooltip="Persistent link using digital object identifier" w:history="1">
        <w:r w:rsidRPr="00CA7623">
          <w:rPr>
            <w:rStyle w:val="a3"/>
            <w:rFonts w:ascii="Times New Roman" w:hAnsi="Times New Roman" w:cs="Times New Roman"/>
            <w:color w:val="E9711C"/>
            <w:sz w:val="28"/>
            <w:szCs w:val="28"/>
          </w:rPr>
          <w:t>10.1016/j.snb.2017.06.176</w:t>
        </w:r>
      </w:hyperlink>
    </w:p>
    <w:p w:rsidR="003F7128" w:rsidRDefault="003F7128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 w:rsidRPr="003F7128">
        <w:rPr>
          <w:rFonts w:ascii="Times New Roman" w:hAnsi="Times New Roman" w:cs="Times New Roman"/>
          <w:sz w:val="28"/>
          <w:szCs w:val="28"/>
        </w:rPr>
        <w:t xml:space="preserve">[19] </w:t>
      </w:r>
      <w:hyperlink r:id="rId15" w:history="1">
        <w:r w:rsidRPr="009327E2">
          <w:rPr>
            <w:rStyle w:val="a3"/>
            <w:rFonts w:ascii="Times New Roman" w:hAnsi="Times New Roman" w:cs="Times New Roman"/>
            <w:sz w:val="28"/>
            <w:szCs w:val="28"/>
          </w:rPr>
          <w:t>http://dx.doi.org/10.3390/s18103425</w:t>
        </w:r>
      </w:hyperlink>
    </w:p>
    <w:p w:rsidR="003F7128" w:rsidRDefault="003F7128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 w:rsidRPr="003F7128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Nylander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, C., M.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Armgarth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 I.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Lundström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ammonia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detector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conducting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polymer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."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Anal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Chem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Symp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Ser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623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CA7623">
        <w:rPr>
          <w:rFonts w:ascii="Times New Roman" w:hAnsi="Times New Roman" w:cs="Times New Roman"/>
          <w:sz w:val="28"/>
          <w:szCs w:val="28"/>
        </w:rPr>
        <w:t>. 17. 1983</w:t>
      </w:r>
    </w:p>
    <w:p w:rsidR="003F7128" w:rsidRDefault="003F7128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[21] </w:t>
      </w:r>
      <w:hyperlink r:id="rId16" w:history="1">
        <w:r w:rsidRPr="00CA7623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https://doi.org/10.3390/s7030267</w:t>
        </w:r>
      </w:hyperlink>
    </w:p>
    <w:p w:rsidR="003F7128" w:rsidRDefault="003F7128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 w:rsidRPr="003F7128">
        <w:rPr>
          <w:rFonts w:ascii="Times New Roman" w:hAnsi="Times New Roman" w:cs="Times New Roman"/>
          <w:sz w:val="28"/>
          <w:szCs w:val="28"/>
        </w:rPr>
        <w:t xml:space="preserve">[22] </w:t>
      </w:r>
      <w:hyperlink r:id="rId17" w:history="1">
        <w:r w:rsidRPr="00CA7623">
          <w:rPr>
            <w:rStyle w:val="a3"/>
            <w:rFonts w:ascii="Times New Roman" w:hAnsi="Times New Roman" w:cs="Times New Roman"/>
            <w:sz w:val="28"/>
            <w:szCs w:val="28"/>
          </w:rPr>
          <w:t>https://doi.org/10.3390/met5031371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128" w:rsidRDefault="003F7128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</w:t>
      </w:r>
      <w:r w:rsidRPr="003F7128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CA762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983347" w:rsidRPr="009327E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83347" w:rsidRPr="009327E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983347" w:rsidRPr="009327E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doi</w:t>
        </w:r>
        <w:r w:rsidR="00983347" w:rsidRPr="009327E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83347" w:rsidRPr="009327E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983347" w:rsidRPr="009327E2">
          <w:rPr>
            <w:rStyle w:val="a3"/>
            <w:rFonts w:ascii="Times New Roman" w:hAnsi="Times New Roman" w:cs="Times New Roman"/>
            <w:sz w:val="28"/>
            <w:szCs w:val="28"/>
          </w:rPr>
          <w:t>/10.3390/</w:t>
        </w:r>
        <w:r w:rsidR="00983347" w:rsidRPr="009327E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983347" w:rsidRPr="009327E2">
          <w:rPr>
            <w:rStyle w:val="a3"/>
            <w:rFonts w:ascii="Times New Roman" w:hAnsi="Times New Roman" w:cs="Times New Roman"/>
            <w:sz w:val="28"/>
            <w:szCs w:val="28"/>
          </w:rPr>
          <w:t>7030267</w:t>
        </w:r>
      </w:hyperlink>
    </w:p>
    <w:p w:rsidR="00983347" w:rsidRDefault="00983347" w:rsidP="00F261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[24] </w:t>
      </w:r>
      <w:proofErr w:type="gramStart"/>
      <w:r w:rsidRPr="00CA7623">
        <w:rPr>
          <w:rFonts w:ascii="Times New Roman" w:hAnsi="Times New Roman" w:cs="Times New Roman"/>
          <w:sz w:val="28"/>
          <w:szCs w:val="28"/>
          <w:lang w:val="en-US"/>
        </w:rPr>
        <w:t>doi:</w:t>
      </w:r>
      <w:proofErr w:type="gramEnd"/>
      <w:r w:rsidRPr="00CA7623">
        <w:rPr>
          <w:rFonts w:ascii="Times New Roman" w:hAnsi="Times New Roman" w:cs="Times New Roman"/>
          <w:sz w:val="28"/>
          <w:szCs w:val="28"/>
          <w:lang w:val="en-US"/>
        </w:rPr>
        <w:t>10.3390/s19020218</w:t>
      </w:r>
    </w:p>
    <w:p w:rsidR="00CB22CC" w:rsidRDefault="00CB22CC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[25] </w:t>
      </w:r>
      <w:r w:rsidRPr="00CA7623">
        <w:rPr>
          <w:rFonts w:ascii="Times New Roman" w:hAnsi="Times New Roman" w:cs="Times New Roman"/>
          <w:sz w:val="28"/>
          <w:szCs w:val="28"/>
        </w:rPr>
        <w:t>10.1155/2016/3021353</w:t>
      </w:r>
    </w:p>
    <w:p w:rsidR="00CB22CC" w:rsidRDefault="00CB22CC" w:rsidP="00F261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[26] </w:t>
      </w:r>
      <w:r w:rsidRPr="00CA7623">
        <w:rPr>
          <w:rFonts w:ascii="Times New Roman" w:hAnsi="Times New Roman" w:cs="Times New Roman"/>
          <w:sz w:val="28"/>
          <w:szCs w:val="28"/>
        </w:rPr>
        <w:t>10.1016/j.orgel.2014.08.044</w:t>
      </w:r>
    </w:p>
    <w:p w:rsidR="00CB22CC" w:rsidRPr="00CB22CC" w:rsidRDefault="00CB22CC" w:rsidP="00F261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[27]</w:t>
      </w:r>
      <w:r w:rsidRPr="00CB22CC">
        <w:t xml:space="preserve"> </w:t>
      </w:r>
      <w:r w:rsidRPr="00CB22CC">
        <w:rPr>
          <w:rFonts w:ascii="Times New Roman" w:hAnsi="Times New Roman" w:cs="Times New Roman"/>
          <w:sz w:val="28"/>
          <w:szCs w:val="28"/>
          <w:lang w:val="en-US"/>
        </w:rPr>
        <w:t>10.1088/0957-4484/20/43/434014</w:t>
      </w:r>
    </w:p>
    <w:p w:rsidR="00CA7623" w:rsidRPr="007D76B5" w:rsidRDefault="00CA7623" w:rsidP="00F2612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7623" w:rsidRPr="007D76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8C"/>
    <w:rsid w:val="00027BF0"/>
    <w:rsid w:val="00095F7D"/>
    <w:rsid w:val="00126FAA"/>
    <w:rsid w:val="003B1494"/>
    <w:rsid w:val="003E0EAA"/>
    <w:rsid w:val="003E2EB9"/>
    <w:rsid w:val="003F7128"/>
    <w:rsid w:val="004103FF"/>
    <w:rsid w:val="0046111C"/>
    <w:rsid w:val="00470B5E"/>
    <w:rsid w:val="00527F61"/>
    <w:rsid w:val="005C10A4"/>
    <w:rsid w:val="005C145C"/>
    <w:rsid w:val="005C618C"/>
    <w:rsid w:val="005D6EC3"/>
    <w:rsid w:val="005F0417"/>
    <w:rsid w:val="005F0AC3"/>
    <w:rsid w:val="006A1A45"/>
    <w:rsid w:val="007C687C"/>
    <w:rsid w:val="007D76B5"/>
    <w:rsid w:val="00815486"/>
    <w:rsid w:val="0082469C"/>
    <w:rsid w:val="008438A5"/>
    <w:rsid w:val="00983347"/>
    <w:rsid w:val="009F404A"/>
    <w:rsid w:val="00A3384D"/>
    <w:rsid w:val="00AC39F7"/>
    <w:rsid w:val="00C37608"/>
    <w:rsid w:val="00C63D53"/>
    <w:rsid w:val="00CA3E89"/>
    <w:rsid w:val="00CA7623"/>
    <w:rsid w:val="00CB22CC"/>
    <w:rsid w:val="00CB38EA"/>
    <w:rsid w:val="00D3535A"/>
    <w:rsid w:val="00E51E34"/>
    <w:rsid w:val="00EE3CFC"/>
    <w:rsid w:val="00F2612C"/>
    <w:rsid w:val="00F70C5C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63113-213C-4FA5-95D3-8021747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12C"/>
    <w:rPr>
      <w:color w:val="0000FF"/>
      <w:u w:val="single"/>
    </w:rPr>
  </w:style>
  <w:style w:type="character" w:customStyle="1" w:styleId="meta-key">
    <w:name w:val="meta-key"/>
    <w:basedOn w:val="a0"/>
    <w:rsid w:val="00EE3CFC"/>
  </w:style>
  <w:style w:type="character" w:customStyle="1" w:styleId="meta-value">
    <w:name w:val="meta-value"/>
    <w:basedOn w:val="a0"/>
    <w:rsid w:val="00EE3CFC"/>
  </w:style>
  <w:style w:type="table" w:styleId="a4">
    <w:name w:val="Table Grid"/>
    <w:basedOn w:val="a1"/>
    <w:uiPriority w:val="39"/>
    <w:rsid w:val="0047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nb.2006.07.003" TargetMode="External"/><Relationship Id="rId13" Type="http://schemas.openxmlformats.org/officeDocument/2006/relationships/hyperlink" Target="https://doi.org/10.1016/j.snb.2016.06.171" TargetMode="External"/><Relationship Id="rId18" Type="http://schemas.openxmlformats.org/officeDocument/2006/relationships/hyperlink" Target="https://doi.org/10.3390/s70302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chroma.2015.07.050" TargetMode="External"/><Relationship Id="rId12" Type="http://schemas.openxmlformats.org/officeDocument/2006/relationships/hyperlink" Target="https://s100.copyright.com/AppDispatchServlet?publisherName=ELS&amp;contentID=S0925838816337793&amp;orderBeanReset=true" TargetMode="External"/><Relationship Id="rId17" Type="http://schemas.openxmlformats.org/officeDocument/2006/relationships/hyperlink" Target="https://doi.org/10.3390/met50313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390/s703026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jchromb.2004.08.013" TargetMode="External"/><Relationship Id="rId11" Type="http://schemas.openxmlformats.org/officeDocument/2006/relationships/hyperlink" Target="https://doi.org/10.1016/j.jallcom.2016.11.298" TargetMode="External"/><Relationship Id="rId5" Type="http://schemas.openxmlformats.org/officeDocument/2006/relationships/hyperlink" Target="https://doi.org/10.1016/j.bios.2015.04.023" TargetMode="External"/><Relationship Id="rId15" Type="http://schemas.openxmlformats.org/officeDocument/2006/relationships/hyperlink" Target="http://dx.doi.org/10.3390/s18103425" TargetMode="External"/><Relationship Id="rId10" Type="http://schemas.openxmlformats.org/officeDocument/2006/relationships/hyperlink" Target="https://doi.org/10.5339/qfarc.2016.HBPP277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snb.2017.10.178" TargetMode="External"/><Relationship Id="rId14" Type="http://schemas.openxmlformats.org/officeDocument/2006/relationships/hyperlink" Target="https://doi.org/10.1016/j.snb.2017.06.1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64C7D-E283-4F7C-976F-4E67FDAD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4692</Words>
  <Characters>2676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Svet</dc:creator>
  <cp:keywords/>
  <dc:description/>
  <cp:lastModifiedBy>Olha Svet</cp:lastModifiedBy>
  <cp:revision>18</cp:revision>
  <dcterms:created xsi:type="dcterms:W3CDTF">2019-10-03T17:45:00Z</dcterms:created>
  <dcterms:modified xsi:type="dcterms:W3CDTF">2019-10-03T22:15:00Z</dcterms:modified>
</cp:coreProperties>
</file>