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A Strategic Plan for the Autonomous Information Economy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 The Strategic Vision - Architecting an Autonomous Information Economy</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Next Frontier of Information Exchange: From Static Data to Dynamic Intelligence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economy operates on a foundation of data, yet it is fundamentally constrained by the inefficient, manual, and siloed systems used to manage and exchange this critical resource. While data production has grown exponentially, the mechanisms for translating that data into coordinated, intelligent action have lagged significantly. This creates a paradox: organizations are saturated with information but starved for the actionable intelligence that drives competitive advantage and operational resilience. The core problem is not a lack of data, but a failure of coordination.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systems are defined by profound inefficiencies. In sectors like insurance and real estate, human brokers are essential intermediaries, yet they are also bottlenecks, encumbered by manual data entry, paper-based documentation, and time-consuming administrative tasks. A single data entry error can lead to significant financial loss or policy misalignment, while the reliance on physical documents slows collaboration and inflates operational costs. In finance, analysts spend vast amounts of time manually collecting and interpreting data from disparate sources, a process that is not only slow but also susceptible to human bias and error. These challenges highlight a universal truth: the value of information is diminished by the friction involved in its exchange and application.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models for data exchange have failed to address this fundamental coordination problem. Centralized data marketplaces, such as AWS Data Exchange and Snowflake Marketplace, have made strides in improving data discovery and accessibility. They provide a valuable service by aggregating data sources into a single catalog, but their function largely ends at the point of transaction. They are digital storefronts for static datasets, not dynamic engines for intelligent coordination. They do not possess the capability to mediate complex, multi-party activities or add value beyond simple access. Traditional information brokers, whether human or digital, are similarly limited. They operate as gatekeepers, creating dependencies and failing to scale in the face of increasingly complex and dynamic information environments.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plan outlines a vision to transcend these limitations by creating a new paradigm: an autonomous information economy. This ecosystem will be powered by intelligent, autonomous agents acting as brokers, dynamically discovering, negotiating, verifying, and coordinating the exchange of high-value "data products" between a diverse range of producers and consumers. These participants may be human organizations, other multi-agent systems, or hybrid human-agent teams. The system is designed to manage unforeseen problems and emulate sophisticated, human-like problem-solving capabilities in complex, real-world environments, thereby unlocking the vast, latent value currently trapped within disconnected data silos.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Broker as an Operating System for Information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grasp the transformative potential of this vision, it is useful to employ a powerful analogy: the Autonomous Information Broker (AIB) system will function as the operating system for the global information economy. In the same way that hardware operating systems like Windows and macOS provided the foundational services—process management, memory allocation, user interfaces—that unlocked the latent potential of personal computer hardware, the AIB system will provide the essential, trust-minimized services that enable a new generation of information-driven applications and economies to flourish. It will be the unifying layer that abstracts away the complexity of trust, negotiation, and coordination, allowing producers and consumers to interact seamlessly and efficiently.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"operating system" moves far beyond the simple data transactions facilitated by current marketplaces. It enables complex, goal-oriented tasks that are currently impossible to automate. Consider a sophisticated supply chain agent within a manufacturing firm. This agent could issue a high-level directive to an AIB, such as: "Secure the necessary data feeds and coordinate with logistics, component manufacturing, and raw material data providers to optimize the production run for Product X, minimizing cost while ensuring delivery by Q4." The AIB would then autonomously discover relevant data producers, negotiate pricing and access terms, verify data quality, and orchestrate the flow of information between all parties to achieve the stated goal. This level of dynamic, multi-party coordination represents a quantum leap from today's static data catalogs.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approach finds a compelling parallel in the success of Palantir Technologies, which has built its business on creating "operating systems" for complex human institutions. A core insight of Palantir's model is that true value is derived not just from data integration, but from creating a semantic "Ontology"—a dynamic, digital representation of an organization's world, including its objects, relationships, and decision-making processes. Our AIB system externalizes, decentralizes, and democratizes this powerful concept. Instead of a proprietary, centralized ontology for a single institution, we are building a universal, interoperable protocol for creating a shared semantic layer across the entire information economy. This allows for unprecedented cross-organizational collaboration and the emergence of complex economic behaviors, all managed and mediated by autonomous agents.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Market Opportunity and the "Why Now?" Imperative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conception of this venture is not arbitrary; it is made possible by the timely convergence of three distinct and powerful technology waves, each reaching a critical level of maturity. This confluence of capabilities creates a unique and fleeting window of opportunity to build a foundational platform that was technologically infeasible even a few years ago.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the rapid advancement of </w:t>
      </w:r>
      <w:r w:rsidDel="00000000" w:rsidR="00000000" w:rsidRPr="00000000">
        <w:rPr>
          <w:b w:val="1"/>
          <w:rtl w:val="0"/>
        </w:rPr>
        <w:t xml:space="preserve">Large Language Model (LLM)-powered Multi-Agent Systems (MAS)</w:t>
      </w:r>
      <w:r w:rsidDel="00000000" w:rsidR="00000000" w:rsidRPr="00000000">
        <w:rPr>
          <w:rtl w:val="0"/>
        </w:rPr>
        <w:t xml:space="preserve"> has fundamentally altered the landscape of artificial intelligence. The emergence of sophisticated frameworks like Microsoft's Autogen has enabled the development of agents that move beyond simple, rule-based execution. These modern agents can engage in complex, human-like interactions, including collaborative problem-solving, nuanced negotiation, and even structured debate to arrive at optimal solutions. This shift from programmatic agents to cognitive agents is the critical enabler for the "intelligence" layer of our brokering system, allowing them to perform tasks that require reasoning and judgment.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the maturation of </w:t>
      </w:r>
      <w:r w:rsidDel="00000000" w:rsidR="00000000" w:rsidRPr="00000000">
        <w:rPr>
          <w:b w:val="1"/>
          <w:rtl w:val="0"/>
        </w:rPr>
        <w:t xml:space="preserve">Decentralized Data Architectures</w:t>
      </w:r>
      <w:r w:rsidDel="00000000" w:rsidR="00000000" w:rsidRPr="00000000">
        <w:rPr>
          <w:rtl w:val="0"/>
        </w:rPr>
        <w:t xml:space="preserve">, particularly the "data mesh" and "data product" paradigms, provides the conceptual framework for making information a tradable asset. The data mesh philosophy advocates for decentralizing data ownership to specific business domains, where data is treated as a product. A "data product" is a self-contained, discoverable, and addressable unit that bundles the data itself with its essential metadata, access mechanisms, and governance policies. This architectural pattern provides the perfect structure for packaging information in a standardized, machine-readable format that can be brokered, exchanged, and governed within our ecosystem.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the development of </w:t>
      </w:r>
      <w:r w:rsidDel="00000000" w:rsidR="00000000" w:rsidRPr="00000000">
        <w:rPr>
          <w:b w:val="1"/>
          <w:rtl w:val="0"/>
        </w:rPr>
        <w:t xml:space="preserve">Mature Blockchain Infrastructure</w:t>
      </w:r>
      <w:r w:rsidDel="00000000" w:rsidR="00000000" w:rsidRPr="00000000">
        <w:rPr>
          <w:rtl w:val="0"/>
        </w:rPr>
        <w:t xml:space="preserve"> provides the indispensable substrate for a secure, transparent, and automated economic layer. Public blockchains like Ethereum, combined with scalable Layer 2 solutions, offer a global, permissionless settlement layer. Decentralized storage solutions like the InterPlanetary File System (IPFS) provide a means to store and address large datasets without relying on centralized servers. Critically, standardized token models such as ERC20 for fungible assets, ERC721 for unique assets (Non-Fungible Tokens), and ERC1155 for multi-token contracts provide the robust and interoperable building blocks for representing ownership, facilitating payment, and governing the marketplace through smart contracts.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technological convergence is met by a powerful market pull from multiple trillion-dollar sectors, each grappling with information coordination challenges that our platform is uniquely positioned to solve: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Supply Chain &amp; Logistics:</w:t>
      </w:r>
      <w:r w:rsidDel="00000000" w:rsidR="00000000" w:rsidRPr="00000000">
        <w:rPr>
          <w:rtl w:val="0"/>
        </w:rPr>
        <w:t xml:space="preserve"> In the wake of global disruptions, there is an urgent demand for greater resilience, agility, and real-time optimization. Multi-agent systems are recognized as a premier solution for managing the complexities of modern supply chains, from inventory control to dynamic supplier negotiation and fleet management.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Financial Services:</w:t>
      </w:r>
      <w:r w:rsidDel="00000000" w:rsidR="00000000" w:rsidRPr="00000000">
        <w:rPr>
          <w:rtl w:val="0"/>
        </w:rPr>
        <w:t xml:space="preserve"> The financial industry is in a perpetual arms race for informational advantage. The AIB system can power a new generation of applications for automated market analysis, high-frequency algorithmic trading, and dynamic risk management, operating at a speed and scale that is impossible for human teams to achieve.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Scientific and Medical Research:</w:t>
      </w:r>
      <w:r w:rsidDel="00000000" w:rsidR="00000000" w:rsidRPr="00000000">
        <w:rPr>
          <w:rtl w:val="0"/>
        </w:rPr>
        <w:t xml:space="preserve"> There is a critical need for mechanisms that facilitate the secure, ethical, and compliant sharing of sensitive data, such as genomic or clinical trial information. The AIB system, architected around the "Honest Broker" protocol, can serve as a trusted intermediary, connecting research institutions while enforcing privacy and usage constraints.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Intelligence &amp; Defense:</w:t>
      </w:r>
      <w:r w:rsidDel="00000000" w:rsidR="00000000" w:rsidRPr="00000000">
        <w:rPr>
          <w:rtl w:val="0"/>
        </w:rPr>
        <w:t xml:space="preserve"> Government agencies are tasked with preventing strategic surprise by fusing vast amounts of data from disparate, often non-cooperative, sources. This directly aligns with the mission of organizations like the Defense Advanced Research Projects Agency (DARPA). An AIB network could provide a revolutionary capability for real-time intelligence analysis and threat assessment.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calculating a precise Total Addressable Market (TAM) for a new market category is inherently speculative, the opportunity can be framed by the convergence of several massive, existing markets: enterprise AI, data brokerage, and supply chain management software, which collectively represent hundreds of billions of dollars in annual spending. The DeFi market alone saw collateral levels peak at $178 billion, demonstrating the scale of value that can be coordinated on decentralized infrastructure. By creating a foundational protocol that serves all these sectors, this venture is positioned to capture a significant share of this immense potential value. The platform's defensible advantage lies not in any single technology but in the novel </w:t>
      </w:r>
      <w:r w:rsidDel="00000000" w:rsidR="00000000" w:rsidRPr="00000000">
        <w:rPr>
          <w:i w:val="1"/>
          <w:rtl w:val="0"/>
        </w:rPr>
        <w:t xml:space="preserve">synthesis</w:t>
      </w:r>
      <w:r w:rsidDel="00000000" w:rsidR="00000000" w:rsidRPr="00000000">
        <w:rPr>
          <w:rtl w:val="0"/>
        </w:rPr>
        <w:t xml:space="preserve"> of these three maturing technology stacks. A pure AI or MAS company will struggle to build a trustless, scalable economic layer. A pure blockchain or DeFi company will lack the sophisticated agent-level intelligence required for complex mediation. A pure data infrastructure company excels at storage and access but is not designed for dynamic, autonomous, real-time coordination between external entities. By seamlessly integrating all three, this platform establishes a new market category with a powerful and durable competitive moat.</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II: The Core Technology - A Multi-Agent Architecture for Intelligent Brokering</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Foundations: The Modern Multi-Agent System (MAS)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technological core of the Autonomous Information Broker system is the Multi-Agent System (MAS), a paradigm that has undergone a profound transformation with the advent of Large Language Models (LLMs). Historically, agent-based systems were often limited to predefined rules and procedural logic. The modern MAS, however, represents a significant leap forward, enabling the creation of autonomous, cognitive entities capable of sophisticated behavior in complex environments.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paradigm shift is central to the AIB vision. We are moving beyond simple, reactive agents to build systems of proactive, reasoning agents. These LLM-powered agents possess key characteristics essential for our use case: </w:t>
      </w:r>
      <w:r w:rsidDel="00000000" w:rsidR="00000000" w:rsidRPr="00000000">
        <w:rPr>
          <w:b w:val="1"/>
          <w:rtl w:val="0"/>
        </w:rPr>
        <w:t xml:space="preserve">autonomy</w:t>
      </w:r>
      <w:r w:rsidDel="00000000" w:rsidR="00000000" w:rsidRPr="00000000">
        <w:rPr>
          <w:rtl w:val="0"/>
        </w:rPr>
        <w:t xml:space="preserve">, allowing them to operate independently to achieve their goals; </w:t>
      </w:r>
      <w:r w:rsidDel="00000000" w:rsidR="00000000" w:rsidRPr="00000000">
        <w:rPr>
          <w:b w:val="1"/>
          <w:rtl w:val="0"/>
        </w:rPr>
        <w:t xml:space="preserve">local views</w:t>
      </w:r>
      <w:r w:rsidDel="00000000" w:rsidR="00000000" w:rsidRPr="00000000">
        <w:rPr>
          <w:rtl w:val="0"/>
        </w:rPr>
        <w:t xml:space="preserve">, meaning no single agent has a complete picture of the entire system, which forces decentralized problem-solving; and </w:t>
      </w:r>
      <w:r w:rsidDel="00000000" w:rsidR="00000000" w:rsidRPr="00000000">
        <w:rPr>
          <w:b w:val="1"/>
          <w:rtl w:val="0"/>
        </w:rPr>
        <w:t xml:space="preserve">decentralized control</w:t>
      </w:r>
      <w:r w:rsidDel="00000000" w:rsidR="00000000" w:rsidRPr="00000000">
        <w:rPr>
          <w:rtl w:val="0"/>
        </w:rPr>
        <w:t xml:space="preserve">, ensuring there is no single point of failure. This architecture allows for emergent, intelligent collective behavior. Agents can engage in a rich spectrum of interactions, from simple cooperation towards a shared objective to complex negotiation and even structured debate, enabling them to solve problems that are far beyond the capability of any individual agent or monolithic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fundamental components of any MAS are the agents themselves, the environment in which they operate, a communication framework, and a control structure. In our design, the </w:t>
      </w:r>
      <w:r w:rsidDel="00000000" w:rsidR="00000000" w:rsidRPr="00000000">
        <w:rPr>
          <w:b w:val="1"/>
          <w:rtl w:val="0"/>
        </w:rPr>
        <w:t xml:space="preserve">environment</w:t>
      </w:r>
      <w:r w:rsidDel="00000000" w:rsidR="00000000" w:rsidRPr="00000000">
        <w:rPr>
          <w:rtl w:val="0"/>
        </w:rPr>
        <w:t xml:space="preserve"> is the decentralized information marketplace itself. The </w:t>
      </w:r>
      <w:r w:rsidDel="00000000" w:rsidR="00000000" w:rsidRPr="00000000">
        <w:rPr>
          <w:b w:val="1"/>
          <w:rtl w:val="0"/>
        </w:rPr>
        <w:t xml:space="preserve">communication framework</w:t>
      </w:r>
      <w:r w:rsidDel="00000000" w:rsidR="00000000" w:rsidRPr="00000000">
        <w:rPr>
          <w:rtl w:val="0"/>
        </w:rPr>
        <w:t xml:space="preserve"> will be a standardized, robust Agent Communication Language (ACL), conceptually similar to pioneering languages like KQML (Knowledge Query and Manipulation Language), designed to formally express information needs, offers, proposals, and contractual agreements. The </w:t>
      </w:r>
      <w:r w:rsidDel="00000000" w:rsidR="00000000" w:rsidRPr="00000000">
        <w:rPr>
          <w:b w:val="1"/>
          <w:rtl w:val="0"/>
        </w:rPr>
        <w:t xml:space="preserve">control structure</w:t>
      </w:r>
      <w:r w:rsidDel="00000000" w:rsidR="00000000" w:rsidRPr="00000000">
        <w:rPr>
          <w:rtl w:val="0"/>
        </w:rPr>
        <w:t xml:space="preserve">, as detailed below, is a sophisticated, multi-layered design that balances decentralized flexibility with necessary oversight.</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Proposed Architectural Framework: A Nested, Hybrid Structure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simplistic, one-size-fits-all architecture would be insufficient for the complexity and scale of the envisioned information economy. A purely flat, peer-to-peer structure lacks mechanisms for robust governance and accountability, while a purely hierarchical structure sacrifices the scalability and resilience that are hallmarks of decentralized systems. Therefore, the proposed architecture is a </w:t>
      </w:r>
      <w:r w:rsidDel="00000000" w:rsidR="00000000" w:rsidRPr="00000000">
        <w:rPr>
          <w:b w:val="1"/>
          <w:rtl w:val="0"/>
        </w:rPr>
        <w:t xml:space="preserve">Nested, or Hybrid, Structure</w:t>
      </w:r>
      <w:r w:rsidDel="00000000" w:rsidR="00000000" w:rsidRPr="00000000">
        <w:rPr>
          <w:rtl w:val="0"/>
        </w:rPr>
        <w:t xml:space="preserve">, which strategically combines the strengths of both Hierarchical and Equi-Level models to create a resilient, scalable, and governable system.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highest level, a </w:t>
      </w:r>
      <w:r w:rsidDel="00000000" w:rsidR="00000000" w:rsidRPr="00000000">
        <w:rPr>
          <w:b w:val="1"/>
          <w:rtl w:val="0"/>
        </w:rPr>
        <w:t xml:space="preserve">Hierarchical Governance Layer</w:t>
      </w:r>
      <w:r w:rsidDel="00000000" w:rsidR="00000000" w:rsidRPr="00000000">
        <w:rPr>
          <w:rtl w:val="0"/>
        </w:rPr>
        <w:t xml:space="preserve"> provides essential oversight and establishes the foundational rules of the road for the entire network. This layer is not a centralized command-and-control system in the traditional sense; rather, it consists of a set of on-chain rules and smart contracts, governed by the platform's stakeholders (via a DAO, as described in Part III), that enforce network-wide policies. These policies include ethical constraints (e.g., prohibiting brokering of explicitly illegal data), security protocols, and the mechanisms for dispute resolution. This layer directly addresses the critical need for accountability, transparency, and governance, which are non-negotiable requirements for adoption by enterprise and government clients who must operate within strict regulatory and compliance frameworks.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the system operates as an </w:t>
      </w:r>
      <w:r w:rsidDel="00000000" w:rsidR="00000000" w:rsidRPr="00000000">
        <w:rPr>
          <w:b w:val="1"/>
          <w:rtl w:val="0"/>
        </w:rPr>
        <w:t xml:space="preserve">Equi-Level Structure</w:t>
      </w:r>
      <w:r w:rsidDel="00000000" w:rsidR="00000000" w:rsidRPr="00000000">
        <w:rPr>
          <w:rtl w:val="0"/>
        </w:rPr>
        <w:t xml:space="preserve">. Here, the Broker Agents function as autonomous peers in a decentralized marketplace. They compete and collaborate to fulfill information requests from consumers, discovering data products from producers and negotiating terms in a dynamic, open market. This peer-to-peer interaction is the engine of the system's efficiency and resilience. It allows the network to scale horizontally as more agents join, and it ensures that the failure of any single agent does not compromise the entire system's functionality. This layer embodies the principles of self-organization, where optimal solutions can emerge from the local interactions of many independent agents.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the architecture incorporates </w:t>
      </w:r>
      <w:r w:rsidDel="00000000" w:rsidR="00000000" w:rsidRPr="00000000">
        <w:rPr>
          <w:b w:val="1"/>
          <w:rtl w:val="0"/>
        </w:rPr>
        <w:t xml:space="preserve">Nested Sub-systems</w:t>
      </w:r>
      <w:r w:rsidDel="00000000" w:rsidR="00000000" w:rsidRPr="00000000">
        <w:rPr>
          <w:rtl w:val="0"/>
        </w:rPr>
        <w:t xml:space="preserve"> to handle task-specific complexity. When a Broker Agent receives a complex request from a consumer—for example, a request for a dataset that must be aggregated from multiple sources, cleaned, de-identified, and formatted to a specific schema—it can act as a temporary "leader" and dynamically instantiate its own subordinate, hierarchical multi-agent system. This sub-system might include a specialized "Data Discovery Agent," a "Data Cleaning Agent," a "Privacy Agent" to apply anonymization techniques, and a "Formatting Agent." These follower agents execute their specific tasks under the direction of the Broker Agent, which then packages the final, value-added data product for the consumer. This nested approach provides immense flexibility and modularity, allowing for the creation of sophisticated, multi-step information processing workflows without cluttering the core peer-to-peer marketplace logic.</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The Broker Agent: Cognition, Appraisal, and Value-Based Decision-Making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intelligence of the AIB system resides within the individual Broker Agents. These are not simple search bots performing keyword matching; they are designed as </w:t>
      </w:r>
      <w:r w:rsidDel="00000000" w:rsidR="00000000" w:rsidRPr="00000000">
        <w:rPr>
          <w:b w:val="1"/>
          <w:rtl w:val="0"/>
        </w:rPr>
        <w:t xml:space="preserve">cognitive agents</w:t>
      </w:r>
      <w:r w:rsidDel="00000000" w:rsidR="00000000" w:rsidRPr="00000000">
        <w:rPr>
          <w:rtl w:val="0"/>
        </w:rPr>
        <w:t xml:space="preserve"> capable of sophisticated reasoning, planning, and judgment, essential for navigating the complexities of the information market. To achieve this, the agent's decision-making core will be built upon a robust foundation of psychological research into human emotion and cognition.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many AI systems use the popular OCC (Ortony, Clore, and Collins) model for generating artificial emotions, this model is primarily cognitive and lacks a connection to an agent's underlying needs or motivations. For a broker that must make economically rational and ethically sound decisions, a more nuanced approach is required. Therefore, our Broker Agents will implement a decision-making framework inspired by </w:t>
      </w:r>
      <w:r w:rsidDel="00000000" w:rsidR="00000000" w:rsidRPr="00000000">
        <w:rPr>
          <w:b w:val="1"/>
          <w:rtl w:val="0"/>
        </w:rPr>
        <w:t xml:space="preserve">Scherer's Component Process Model (CPM)</w:t>
      </w:r>
      <w:r w:rsidDel="00000000" w:rsidR="00000000" w:rsidRPr="00000000">
        <w:rPr>
          <w:rtl w:val="0"/>
        </w:rPr>
        <w:t xml:space="preserve">. A key advantage of Scherer's theory is its integration of both cognitive processes and an agent's motivational state. This allows the agent to evaluate events not just based on abstract rules, but in relation to its own fundamental goals, such as maximizing profit, maintaining a high reputation score, adhering to ethical constraints, or minimizing resource expenditure.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consumer's query arrives, the Broker Agent initiates a multi-stage </w:t>
      </w:r>
      <w:r w:rsidDel="00000000" w:rsidR="00000000" w:rsidRPr="00000000">
        <w:rPr>
          <w:b w:val="1"/>
          <w:rtl w:val="0"/>
        </w:rPr>
        <w:t xml:space="preserve">appraisal process</w:t>
      </w:r>
      <w:r w:rsidDel="00000000" w:rsidR="00000000" w:rsidRPr="00000000">
        <w:rPr>
          <w:rtl w:val="0"/>
        </w:rPr>
        <w:t xml:space="preserve"> analogous to human judgment :</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Appraisal:</w:t>
      </w:r>
      <w:r w:rsidDel="00000000" w:rsidR="00000000" w:rsidRPr="00000000">
        <w:rPr>
          <w:rtl w:val="0"/>
        </w:rPr>
        <w:t xml:space="preserve"> The agent first assesses the fundamental relevance and significance of the request in relation to its core motives. Is this a high-value request from a reputable consumer? Does the request fall within the agent's specialized domain? Does it conflict with any of its programmed ethical or operational constraints? This initial check determines whether the request is worth pursuing.</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Appraisal:</w:t>
      </w:r>
      <w:r w:rsidDel="00000000" w:rsidR="00000000" w:rsidRPr="00000000">
        <w:rPr>
          <w:rtl w:val="0"/>
        </w:rPr>
        <w:t xml:space="preserve"> If the request passes the primary appraisal, the agent then assesses its own capabilities and the available resources to fulfill it. Can it identify and access suitable data products from producer agents? Does it have the computational resources to perform any required value-added processing? Can it realistically meet the consumer's specified constraints on quality, cost, and delivery time? This stage is about evaluating the feasibility and potential cost of execution.</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Reappraisal:</w:t>
      </w:r>
      <w:r w:rsidDel="00000000" w:rsidR="00000000" w:rsidRPr="00000000">
        <w:rPr>
          <w:rtl w:val="0"/>
        </w:rPr>
        <w:t xml:space="preserve"> The environment of the information marketplace is dynamic. The agent must continuously re-evaluate the situation as new information becomes available. This could include competing bids for the same data product from other Broker Agents, changes in a producer's data availability or pricing, or new, higher-priority requests arriving from other consumers. This constant reappraisal allows the agent to adapt its strategy in real-time.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cognitive architecture empowers the agent to make sophisticated, value-based trade-offs. For instance, it might choose to work with a data producer that charges a slightly higher price but has a verifiably higher reputation for data quality and reliability. This decision might reduce the immediate profit on a single transaction but serves the agent's long-term motive of building its own reputation score, which will lead to more high-value business in the future. This capacity for nuanced, multi-objective decision-making is a cornerstone of true autonomous brokering and a significant differentiator from simplistic, rule-based systems.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Human-Agent Teaming and the "Honest Broker" Protocol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AIB system is explicitly designed to operate in a mixed environment populated by both autonomous agents and human organizations. To facilitate this interaction, human producers and consumers will interface with the network through a dedicated </w:t>
      </w:r>
      <w:r w:rsidDel="00000000" w:rsidR="00000000" w:rsidRPr="00000000">
        <w:rPr>
          <w:b w:val="1"/>
          <w:rtl w:val="0"/>
        </w:rPr>
        <w:t xml:space="preserve">User Proxy Agent</w:t>
      </w:r>
      <w:r w:rsidDel="00000000" w:rsidR="00000000" w:rsidRPr="00000000">
        <w:rPr>
          <w:rtl w:val="0"/>
        </w:rPr>
        <w:t xml:space="preserve">. This agent acts as an interpreter, translating human-readable requests and natural language instructions into the formal Agent Communication Language used by the network, and conversely, presenting the results and proposals from agents in a clear, understandable format for the human user.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greatest challenge—and greatest opportunity—in designing such a system lies in establishing trust. For the AIB network to be adopted by risk-averse enterprises and government agencies, it must provide ironclad guarantees of security, privacy, and compliance. The solution lies in adapting a trusted framework from one of the most highly regulated domains: medical research. The concept of the </w:t>
      </w:r>
      <w:r w:rsidDel="00000000" w:rsidR="00000000" w:rsidRPr="00000000">
        <w:rPr>
          <w:b w:val="1"/>
          <w:rtl w:val="0"/>
        </w:rPr>
        <w:t xml:space="preserve">"Honest Broker"</w:t>
      </w:r>
      <w:r w:rsidDel="00000000" w:rsidR="00000000" w:rsidRPr="00000000">
        <w:rPr>
          <w:rtl w:val="0"/>
        </w:rPr>
        <w:t xml:space="preserve"> provides a powerful and legally robust model for a neutral intermediary that facilitates data exchange while rigorously protecting sensitive information and ensuring it is used only for its stated purpose.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system operationalizes this concept, transforming the principles of the Honest Broker into immutable, auditable code enforced by the blockchain. This "Honest Broker Protocol" will be a core feature of the platform, providing the trust layer necessary for mainstream adoption. Its key features include:</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 Limitation:</w:t>
      </w:r>
      <w:r w:rsidDel="00000000" w:rsidR="00000000" w:rsidRPr="00000000">
        <w:rPr>
          <w:rtl w:val="0"/>
        </w:rPr>
        <w:t xml:space="preserve"> When a consumer agent submits a request for a data product, that request must include a cryptographically signed, machine-readable declaration of the data's intended use. The smart contract governing the transaction will not release payment to the producer or data access keys to the consumer unless this stated purpose is compliant with the producer's own embedded usage policies. This prevents data misuse and ensures adherence to terms of service.</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Minimization and Privacy Preservation:</w:t>
      </w:r>
      <w:r w:rsidDel="00000000" w:rsidR="00000000" w:rsidRPr="00000000">
        <w:rPr>
          <w:rtl w:val="0"/>
        </w:rPr>
        <w:t xml:space="preserve"> The system will natively support privacy-enhancing technologies. For many analytical use cases, consumers do not need access to raw, sensitive data. The AIB can facilitate "Compute-to-Data" workflows, where the consumer's analytical model is sent to a secure enclave where the producer's data resides. The computation is performed on the encrypted data, and only the final, aggregated result is returned to the consumer. This provides the consumer with the intelligence they need without ever exposing the underlying private information.</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Immutable Audit Trails:</w:t>
      </w:r>
      <w:r w:rsidDel="00000000" w:rsidR="00000000" w:rsidRPr="00000000">
        <w:rPr>
          <w:rtl w:val="0"/>
        </w:rPr>
        <w:t xml:space="preserve"> Every transaction, every data request, every access grant, and every payment is recorded as a transaction on the blockchain. This creates a permanent, tamper-proof, and fully transparent audit trail that can be reviewed by participants, regulators, and auditors to verify compliance and investigate any anomalies.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Human-in-the-Loop Oversight:</w:t>
      </w:r>
      <w:r w:rsidDel="00000000" w:rsidR="00000000" w:rsidRPr="00000000">
        <w:rPr>
          <w:rtl w:val="0"/>
        </w:rPr>
        <w:t xml:space="preserve"> For transactions involving particularly sensitive data (e.g., personally identifiable information) or exceeding a certain value threshold, the protocol will mandate </w:t>
      </w:r>
      <w:r w:rsidDel="00000000" w:rsidR="00000000" w:rsidRPr="00000000">
        <w:rPr>
          <w:b w:val="1"/>
          <w:rtl w:val="0"/>
        </w:rPr>
        <w:t xml:space="preserve">human oversight</w:t>
      </w:r>
      <w:r w:rsidDel="00000000" w:rsidR="00000000" w:rsidRPr="00000000">
        <w:rPr>
          <w:rtl w:val="0"/>
        </w:rPr>
        <w:t xml:space="preserve">. In such cases, the Broker Agent's proposed course of action (e.g., "I propose to purchase dataset X from producer Y for price Z") is submitted as a proposal that must be explicitly approved by a designated human authority within the consumer's organization before the transaction can be executed.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architecture fundamentally re-frames the narrative around autonomous AI. The "black box" problem, often seen as the greatest weakness of AI systems, is a major impediment to adoption in high-stakes environments. By building the AIB system on a foundation of auditable, on-chain rules derived from the ethically and legally robust "Honest Broker" framework, we transform this weakness into our most significant strength. We are not just building an efficient system; we are building a </w:t>
      </w:r>
      <w:r w:rsidDel="00000000" w:rsidR="00000000" w:rsidRPr="00000000">
        <w:rPr>
          <w:i w:val="1"/>
          <w:rtl w:val="0"/>
        </w:rPr>
        <w:t xml:space="preserve">provably trustworthy</w:t>
      </w:r>
      <w:r w:rsidDel="00000000" w:rsidR="00000000" w:rsidRPr="00000000">
        <w:rPr>
          <w:rtl w:val="0"/>
        </w:rPr>
        <w:t xml:space="preserve"> system. This is an exceptionally powerful value proposition for enterprise VCs, strategic partners like Palantir, and government funders like DARPA, all of whom place a premium on the ethical, secure, and governable operation of artificial intelligence.</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III: The Economic Layer - A Decentralized Marketplace for Data Products</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Unit of Value: From Data Feeds to Data Products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commodity exchanged within the autonomous information economy is not raw data, but a more sophisticated and valuable construct: the </w:t>
      </w:r>
      <w:r w:rsidDel="00000000" w:rsidR="00000000" w:rsidRPr="00000000">
        <w:rPr>
          <w:b w:val="1"/>
          <w:rtl w:val="0"/>
        </w:rPr>
        <w:t xml:space="preserve">Data Product</w:t>
      </w:r>
      <w:r w:rsidDel="00000000" w:rsidR="00000000" w:rsidRPr="00000000">
        <w:rPr>
          <w:rtl w:val="0"/>
        </w:rPr>
        <w:t xml:space="preserve">. This distinction is critical. Raw data feeds are often unstructured, lack context, and come with no guarantees of quality or usability. A Data Product, in contrast, is a standardized, self-contained, and commercially ready asset designed for seamless discovery and consumption.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Drawing from the principles of the "data mesh" architecture, where data ownership is decentralized and treated with the same rigor as software development, each Data Product within our ecosystem will be a containerized package comprising several key components :</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Data:</w:t>
      </w:r>
      <w:r w:rsidDel="00000000" w:rsidR="00000000" w:rsidRPr="00000000">
        <w:rPr>
          <w:rtl w:val="0"/>
        </w:rPr>
        <w:t xml:space="preserve"> The core payload of information, which could be a static dataset, a real-time streaming feed, or an API endpoint.</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Rich Metadata:</w:t>
      </w:r>
      <w:r w:rsidDel="00000000" w:rsidR="00000000" w:rsidRPr="00000000">
        <w:rPr>
          <w:rtl w:val="0"/>
        </w:rPr>
        <w:t xml:space="preserve"> Comprehensive, machine-readable information about the data, including its lineage (where it came from), quality metrics, schema definition, freshness, and update frequency. This metadata is essential for autonomous agents to assess the product's suitability for a given task.</w:t>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Mechanisms:</w:t>
      </w:r>
      <w:r w:rsidDel="00000000" w:rsidR="00000000" w:rsidRPr="00000000">
        <w:rPr>
          <w:rtl w:val="0"/>
        </w:rPr>
        <w:t xml:space="preserve"> Standardized interfaces, such as APIs or query protocols, that define how the data can be accessed and consumed by other agents or systems.</w:t>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Embedded Governance and Usage Rights:</w:t>
      </w:r>
      <w:r w:rsidDel="00000000" w:rsidR="00000000" w:rsidRPr="00000000">
        <w:rPr>
          <w:rtl w:val="0"/>
        </w:rPr>
        <w:t xml:space="preserve"> A machine-readable policy, encoded within the product's metadata, that specifies the terms of use. This includes licensing terms, permitted applications, duration of access, and any restrictions on redistribution.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Information producers, whether they are human organizations or other multi-agent systems, will utilize a dedicated </w:t>
      </w:r>
      <w:r w:rsidDel="00000000" w:rsidR="00000000" w:rsidRPr="00000000">
        <w:rPr>
          <w:b w:val="1"/>
          <w:rtl w:val="0"/>
        </w:rPr>
        <w:t xml:space="preserve">Producer Agent</w:t>
      </w:r>
      <w:r w:rsidDel="00000000" w:rsidR="00000000" w:rsidRPr="00000000">
        <w:rPr>
          <w:rtl w:val="0"/>
        </w:rPr>
        <w:t xml:space="preserve"> to perform this packaging. This agent will guide the producer through the process of defining the data product's components, ensuring it conforms to the network's standards. This approach empowers domain experts to take ownership of their data assets and prepare them for monetization in the marketplace, transforming data from a simple byproduct of operations into a valuable, tradable good.</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The Decentralized Substrate: An Open and Interoperable Marketplace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marketplace itself will be built upon a robust and transparent decentralized technology stack, ensuring that no single entity controls the flow of information or value. This open architecture is designed to foster interoperability and prevent the vendor lock-in that characterizes many existing centralized data platforms. The architectural blueprint is adapted from successful models pioneered by projects like the Decentralized Data Marketplace (DDM) from ANRGUSC and the Ocean Protocol.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components of this decentralized substrate are:</w:t>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Discovery Layer:</w:t>
      </w:r>
      <w:r w:rsidDel="00000000" w:rsidR="00000000" w:rsidRPr="00000000">
        <w:rPr>
          <w:rtl w:val="0"/>
        </w:rPr>
        <w:t xml:space="preserve"> When a producer wishes to offer a data product, their Producer Agent initiates a transaction on the blockchain. This transaction registers the product in a global, on-chain registry, which functions as a smart contract. The rich metadata for the product is stored on a decentralized storage network like IPFS, and the hash of this metadata file is what is stored on-chain. This makes the product discoverable by any Broker Agent on the network while keeping the on-chain footprint minimal.</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Asset Representation:</w:t>
      </w:r>
      <w:r w:rsidDel="00000000" w:rsidR="00000000" w:rsidRPr="00000000">
        <w:rPr>
          <w:rtl w:val="0"/>
        </w:rPr>
        <w:t xml:space="preserve"> Each registered data product is represented as a unique </w:t>
      </w:r>
      <w:r w:rsidDel="00000000" w:rsidR="00000000" w:rsidRPr="00000000">
        <w:rPr>
          <w:b w:val="1"/>
          <w:rtl w:val="0"/>
        </w:rPr>
        <w:t xml:space="preserve">Non-Fungible Token (NFT)</w:t>
      </w:r>
      <w:r w:rsidDel="00000000" w:rsidR="00000000" w:rsidRPr="00000000">
        <w:rPr>
          <w:rtl w:val="0"/>
        </w:rPr>
        <w:t xml:space="preserve">, likely following the ERC721 or ERC1155 standard. This NFT serves as the digital "title" or deed to the data product. It provides a clear, publicly verifiable, and immutable record of ownership, provenance, and transaction history. The NFT is the asset that is ultimately bought, sold, and transferred within the marketplace.</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Storage:</w:t>
      </w:r>
      <w:r w:rsidDel="00000000" w:rsidR="00000000" w:rsidRPr="00000000">
        <w:rPr>
          <w:rtl w:val="0"/>
        </w:rPr>
        <w:t xml:space="preserve"> To ensure scalability and cost-effectiveness, the actual data payload of the data products, especially large datasets, will be stored </w:t>
      </w:r>
      <w:r w:rsidDel="00000000" w:rsidR="00000000" w:rsidRPr="00000000">
        <w:rPr>
          <w:b w:val="1"/>
          <w:rtl w:val="0"/>
        </w:rPr>
        <w:t xml:space="preserve">off-chain</w:t>
      </w:r>
      <w:r w:rsidDel="00000000" w:rsidR="00000000" w:rsidRPr="00000000">
        <w:rPr>
          <w:rtl w:val="0"/>
        </w:rPr>
        <w:t xml:space="preserve">. Producers can use decentralized storage networks like IPFS or established cloud storage providers. The location and access credentials for this off-chain data are encrypted and linked to the corresponding NFT.</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Control Mechanism:</w:t>
      </w:r>
      <w:r w:rsidDel="00000000" w:rsidR="00000000" w:rsidRPr="00000000">
        <w:rPr>
          <w:rtl w:val="0"/>
        </w:rPr>
        <w:t xml:space="preserve"> The logic for accessing the data is embedded within the smart contract that governs the NFT. Only the current, cryptographically verified owner of the NFT can call the specific function on the smart contract that grants access to the decryption key or temporary credentials needed to retrieve the underlying data from its off-chain location. This creates a trustless access control system where ownership of the NFT is synonymous with the right to access the data.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transactions within this marketplace, from the listing of a product to its final purchase, are orchestrated by smart contracts. This automates the entire process, ensuring that the exchange of payment (in the form of the platform's native token) for the data product's NFT occurs in a single, atomic transaction. This eliminates counterparty risk and removes the need for costly and inefficient third-party intermediaries like banks or escrow services, a core value proposition of decentralized finance.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Tokenomics: The Engine of the Ecosystem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economic lifeblood of the AIB ecosystem is its native utility token, which will be referred to as ****. The design of this token's economics, or "tokenomics," is not an afterthought; it is a critical piece of infrastructure designed to govern, secure, and incentivize the network's growth and long-term sustainability. A well-designed token model is essential for aligning the interests of all participants and is a primary focus for sophisticated crypto-native investors.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utility of is multi-faceted, providing the core demand drivers for the token within the ecosystem:</w:t>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Medium of Exchange:</w:t>
      </w:r>
      <w:r w:rsidDel="00000000" w:rsidR="00000000" w:rsidRPr="00000000">
        <w:rPr>
          <w:rtl w:val="0"/>
        </w:rPr>
        <w:t xml:space="preserve"> will be the exclusive currency for all primary economic activities on the platform. Consumers will use the token to pay for data products, and they will pay Broker Agents for their coordination and value-added services. This creates a fundamental, transaction-based demand for the token that scales directly with platform usage.</w:t>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Staking for Security and Quality Assurance:</w:t>
      </w:r>
      <w:r w:rsidDel="00000000" w:rsidR="00000000" w:rsidRPr="00000000">
        <w:rPr>
          <w:rtl w:val="0"/>
        </w:rPr>
        <w:t xml:space="preserve"> To participate in the network, both Producer Agents and Broker Agents will be required to "stake" a certain amount of. This stake functions as a security deposit or performance bond. If an agent acts maliciously (e.g., a producer provides fraudulent data, or a broker fails to deliver on an agreement), its stake can be "slashed"—partially or fully forfeited—through a decentralized dispute resolution process. This mechanism creates a powerful economic disincentive against bad behavior and aligns incentives towards providing high-quality, reliable services.</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Decentralized Governance:</w:t>
      </w:r>
      <w:r w:rsidDel="00000000" w:rsidR="00000000" w:rsidRPr="00000000">
        <w:rPr>
          <w:rtl w:val="0"/>
        </w:rPr>
        <w:t xml:space="preserve"> Holders of will have the right to participate in the governance of the platform. This will be structured as a Decentralized Autonomous Organization (DAO), where token holders can propose and vote on key parameter changes, such as adjustments to transaction fees, updates to the Honest Broker Protocol, or the allocation of treasury funds for ecosystem development. This gives the community of users and builders a direct stake in the long-term success and direction of the protocol.</w:t>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Incentivizing Network Bootstrapping:</w:t>
      </w:r>
      <w:r w:rsidDel="00000000" w:rsidR="00000000" w:rsidRPr="00000000">
        <w:rPr>
          <w:rtl w:val="0"/>
        </w:rPr>
        <w:t xml:space="preserve"> A dedicated portion of the token supply will be allocated to an "Ecosystem Fund." These tokens will be used to programmatically reward key behaviors that help bootstrap the network's crucial two-sided market. This includes incentives for the first wave of high-quality data producers to list their products, rewards for consumers who generate significant transaction volume, and performance bonuses for the most efficient and reliable Broker Agents.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its direct utility, the token is designed to accrue value as the platform grows, providing a compelling reason for participants to hold it long-term:</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 Accrual Mechanism:</w:t>
      </w:r>
      <w:r w:rsidDel="00000000" w:rsidR="00000000" w:rsidRPr="00000000">
        <w:rPr>
          <w:rtl w:val="0"/>
        </w:rPr>
        <w:t xml:space="preserve"> A small percentage of every transaction fee collected by the platform will be directed to a value accrual mechanism. This can take the form of </w:t>
      </w:r>
      <w:r w:rsidDel="00000000" w:rsidR="00000000" w:rsidRPr="00000000">
        <w:rPr>
          <w:b w:val="1"/>
          <w:rtl w:val="0"/>
        </w:rPr>
        <w:t xml:space="preserve">fee sharing</w:t>
      </w:r>
      <w:r w:rsidDel="00000000" w:rsidR="00000000" w:rsidRPr="00000000">
        <w:rPr>
          <w:rtl w:val="0"/>
        </w:rPr>
        <w:t xml:space="preserve">, where the collected fees are distributed pro-rata to token holders who are actively staking their tokens, or a </w:t>
      </w:r>
      <w:r w:rsidDel="00000000" w:rsidR="00000000" w:rsidRPr="00000000">
        <w:rPr>
          <w:b w:val="1"/>
          <w:rtl w:val="0"/>
        </w:rPr>
        <w:t xml:space="preserve">token burn</w:t>
      </w:r>
      <w:r w:rsidDel="00000000" w:rsidR="00000000" w:rsidRPr="00000000">
        <w:rPr>
          <w:rtl w:val="0"/>
        </w:rPr>
        <w:t xml:space="preserve">, where the fees are used to buy back from the open market and permanently remove it from circulation. Both mechanisms ensure that as platform transaction volume increases, a portion of that economic value is captured by the token itself, creating a direct link between platform success and token value appreciation.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token's supply and initial distribution will be transparently defined to foster trust and align long-term incentives:</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Supply Model:</w:t>
      </w:r>
      <w:r w:rsidDel="00000000" w:rsidR="00000000" w:rsidRPr="00000000">
        <w:rPr>
          <w:rtl w:val="0"/>
        </w:rPr>
        <w:t xml:space="preserve"> A fixed total supply or a capped, disinflationary model will be proposed. This provides predictability and ensures scarcity, protecting long-term holders from uncontrolled inflation.</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Initial Allocation:</w:t>
      </w:r>
      <w:r w:rsidDel="00000000" w:rsidR="00000000" w:rsidRPr="00000000">
        <w:rPr>
          <w:rtl w:val="0"/>
        </w:rPr>
        <w:t xml:space="preserve"> A clear and public allocation schedule will be established, with dedicated pools for the Founding Team, Early Investors, the public sale, the Ecosystem Fund for incentives, and a long-term Treasury for ongoing development. All insider allocations (Team and Investors) will be subject to multi-year vesting schedules to ensure a long-term commitment to the project's success and to prevent premature selling pressure on the market.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economic design creates a powerful, self-regulating system for quality control. The combination of NFTs representing Data Products and a mandatory staking mechanism for active participants establishes a marketplace where reputation is transparent and economically significant. The on-chain history of an NFT—its creator, its transaction history, and the ratings associated with it—becomes a public, immutable record of its quality. A producer who consistently offers high-quality data will see the value of their NFTs increase, while one who provides poor data will suffer reputational and financial consequences. Similarly, a Broker Agent that facilitates a bad transaction or acts unreliably risks having its economic stake slashed, directly impacting its profitability. This creates a virtuous cycle where honest, high-performing actors are economically rewarded and gain market share, while malicious or incompetent actors are systematically penalized and driven out of the ecosystem. This is a far more scalable, transparent, and robust quality control mechanism than the centralized, opaque moderation systems of traditional platforms.</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Part IV: The Implementation Roadmap - From Proof-of-Concept to Global Scale</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Phase 1: The Sub-$1M Initial Demonstration (Months 1-12)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phase of Project Chimera is designed to deliver a focused, tangible, and compelling demonstration of the core vision with a budget under $1 million. The primary objective is to move the concept from theoretical architecture to working code, proving the technical feasibility of an autonomous agent successfully brokering a data product transaction in a controlled, end-to-end environment. This Proof-of-Concept (PoC) is the critical first deliverable, designed to de-risk the venture for seed-stage investors and satisfy the milestone requirements of a foundational research grant, such as one from DARPA.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maximize impact and relevance, the PoC will focus on a highly constrained but socially and commercially significant use case: </w:t>
      </w:r>
      <w:r w:rsidDel="00000000" w:rsidR="00000000" w:rsidRPr="00000000">
        <w:rPr>
          <w:b w:val="1"/>
          <w:rtl w:val="0"/>
        </w:rPr>
        <w:t xml:space="preserve">Brokering De-Identified Scientific Research Data</w:t>
      </w:r>
      <w:r w:rsidDel="00000000" w:rsidR="00000000" w:rsidRPr="00000000">
        <w:rPr>
          <w:rtl w:val="0"/>
        </w:rPr>
        <w:t xml:space="preserve">. This scenario directly implements the "Honest Broker" protocol, showcasing the platform's capacity for secure and compliant data exchange. In this demonstration, an agent representing a research hospital (the Producer) will offer a fully de-identified, HIPAA-compliant dataset as a standardized Data Product. Concurrently, an agent representing a university pharmacology lab (the Consumer) will task a Broker Agent with a specific mission: to discover and acquire a dataset matching precise criteria for a preclinical research study, with all transactions governed by the on-chain Honest Broker Protocol.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technology stack for this phase is carefully selected to prioritize rapid development, flexibility, and cost-effectiveness, leveraging established open-source tools:</w:t>
      </w:r>
    </w:p>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 Framework:</w:t>
      </w:r>
      <w:r w:rsidDel="00000000" w:rsidR="00000000" w:rsidRPr="00000000">
        <w:rPr>
          <w:rtl w:val="0"/>
        </w:rPr>
        <w:t xml:space="preserve"> </w:t>
      </w:r>
      <w:r w:rsidDel="00000000" w:rsidR="00000000" w:rsidRPr="00000000">
        <w:rPr>
          <w:b w:val="1"/>
          <w:rtl w:val="0"/>
        </w:rPr>
        <w:t xml:space="preserve">Microsoft Autogen</w:t>
      </w:r>
      <w:r w:rsidDel="00000000" w:rsidR="00000000" w:rsidRPr="00000000">
        <w:rPr>
          <w:rtl w:val="0"/>
        </w:rPr>
        <w:t xml:space="preserve"> will be used to construct the multi-agent system. Its conversation-centric, role-playing paradigm is ideally suited for defining the distinct behaviors and interactions of the Producer, Consumer, and Broker agents.</w:t>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Communication/Messaging Layer:</w:t>
      </w:r>
      <w:r w:rsidDel="00000000" w:rsidR="00000000" w:rsidRPr="00000000">
        <w:rPr>
          <w:rtl w:val="0"/>
        </w:rPr>
        <w:t xml:space="preserve"> </w:t>
      </w:r>
      <w:r w:rsidDel="00000000" w:rsidR="00000000" w:rsidRPr="00000000">
        <w:rPr>
          <w:b w:val="1"/>
          <w:rtl w:val="0"/>
        </w:rPr>
        <w:t xml:space="preserve">Apache Kafka</w:t>
      </w:r>
      <w:r w:rsidDel="00000000" w:rsidR="00000000" w:rsidRPr="00000000">
        <w:rPr>
          <w:rtl w:val="0"/>
        </w:rPr>
        <w:t xml:space="preserve"> will serve as the internal message bus for inter-agent communication during this initial phase. Its high-throughput, reliable messaging capabilities provide a robust backbone for coordinating agent actions before migrating to a fully decentralized communication protocol.</w:t>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Blockchain Environment:</w:t>
      </w:r>
      <w:r w:rsidDel="00000000" w:rsidR="00000000" w:rsidRPr="00000000">
        <w:rPr>
          <w:rtl w:val="0"/>
        </w:rPr>
        <w:t xml:space="preserve"> A </w:t>
      </w:r>
      <w:r w:rsidDel="00000000" w:rsidR="00000000" w:rsidRPr="00000000">
        <w:rPr>
          <w:b w:val="1"/>
          <w:rtl w:val="0"/>
        </w:rPr>
        <w:t xml:space="preserve">private Ethereum testnet</w:t>
      </w:r>
      <w:r w:rsidDel="00000000" w:rsidR="00000000" w:rsidRPr="00000000">
        <w:rPr>
          <w:rtl w:val="0"/>
        </w:rPr>
        <w:t xml:space="preserve"> (e.g., deployed locally using Ganache or a cloud-based service) will be used to simulate all on-chain activities. This allows for the development and testing of the NFT (ERC721) and fungible token (ERC20) smart contracts, as well as the transaction logic, without incurring real-world gas fees or requiring mainnet deployment.</w:t>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Decentralized Storage:</w:t>
      </w:r>
      <w:r w:rsidDel="00000000" w:rsidR="00000000" w:rsidRPr="00000000">
        <w:rPr>
          <w:rtl w:val="0"/>
        </w:rPr>
        <w:t xml:space="preserve"> The </w:t>
      </w:r>
      <w:r w:rsidDel="00000000" w:rsidR="00000000" w:rsidRPr="00000000">
        <w:rPr>
          <w:b w:val="1"/>
          <w:rtl w:val="0"/>
        </w:rPr>
        <w:t xml:space="preserve">InterPlanetary File System (IPFS)</w:t>
      </w:r>
      <w:r w:rsidDel="00000000" w:rsidR="00000000" w:rsidRPr="00000000">
        <w:rPr>
          <w:rtl w:val="0"/>
        </w:rPr>
        <w:t xml:space="preserve"> will be used to store the metadata associated with the Data Products. The Producer Agent will publish the metadata to IPFS and store the resulting content-addressable hash on the Ethereum testnet, demonstrating the core principle of separating on-chain logic from off-chain data.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12-month timeline for Phase 1 is structured around clear, measurable milestones and deliverables, providing a transparent roadmap for progress and accountability.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Phase 1 Proof-of-Concept (PoC) Roadmap &amp; Budget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 Activity</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Timeline (Months)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Personnel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Project Setup &amp; 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Finalized technical architecture document; Development, testing, and staging environments configured.</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Engineer, DevOps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Agent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Producer, Consumer, and Broker agents built in Autogen; Agents can register, discover, and communicate via Kafka.</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Engineer, 2x AI/ML Engineers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Blockchain Development</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ERC721 (Data Product NFT) and ERC20 () smart contracts written and tested; Deployed on private Ethereum testnet.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Developer, Lead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Integration &amp; E2E Testing</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 actions (e.g., "make offer") trigger on-chain transactions; Full transaction flow demonstrated: Query -&gt; Discovery -&gt; Negotiation -&gt; NFT Transfer -&gt; Data Access.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7-11</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Engineering Team</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UI/UX &amp; Demonstration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web-based UI for the User Proxy Agent to initiate queries and view results; Final PoC demonstration prepared.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 Lead Engineer</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Reporting &amp; Whitepaper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technical whitepaper detailing the architecture, implementation, and test results; Final report for investors/grantors.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Engineer, Technical Writer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Contingency &amp; Overhead (20%)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 for unforeseen challenges, administrative costs, and operational expenses.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Fully functional PoC demonstrating autonomous information brokering.</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Team</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$900,000</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detailed plan demonstrates to initial capital providers that their investment is not funding an abstract idea, but a concrete, well-defined project with achievable milestones and a clear definition of success. It transforms the grand vision into a series of tangible engineering tasks, providing the foundation for rigorous oversight and accountability essential for both venture capital and government funding.</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Phase 2: Minimum Viable Ecosystem (MVE) (Months 13-36)</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the successful completion of the PoC, the project will transition into Phase 2, which focuses on developing a Minimum Viable Ecosystem (MVE). The objective is to move from a controlled laboratory demonstration to a live, albeit permissioned, mainnet environment with an initial cohort of real-world enterprise partners. This phase is about validating the economic model, achieving initial product-market fit, and demonstrating tangible value in a commercial setting.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Go-to-Market (GTM) strategy for this phase will be highly targeted. Rather than attempting a broad launch, the focus will be on a specific industry niche where the platform's value proposition is overwhelmingly compelling and the pain points of information coordination are acute. A prime target vertical is </w:t>
      </w:r>
      <w:r w:rsidDel="00000000" w:rsidR="00000000" w:rsidRPr="00000000">
        <w:rPr>
          <w:b w:val="1"/>
          <w:rtl w:val="0"/>
        </w:rPr>
        <w:t xml:space="preserve">Supply Chain Logistics for high-value manufacturing or pharmaceuticals</w:t>
      </w:r>
      <w:r w:rsidDel="00000000" w:rsidR="00000000" w:rsidRPr="00000000">
        <w:rPr>
          <w:rtl w:val="0"/>
        </w:rPr>
        <w:t xml:space="preserve">, where the cost of delays and lack of visibility is enormous. The strategy will involve onboarding a select group of 5-10 trusted partners, comprising both information producers (e.g., logistics providers, component suppliers) and consumers (e.g., manufacturers, distributors), to form the foundational network.</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development during Phase 2 will concentrate on hardening the platform for production use:</w:t>
      </w:r>
    </w:p>
    <w:p w:rsidR="00000000" w:rsidDel="00000000" w:rsidP="00000000" w:rsidRDefault="00000000" w:rsidRPr="00000000" w14:paraId="0000008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Mainnet Migration:</w:t>
      </w:r>
      <w:r w:rsidDel="00000000" w:rsidR="00000000" w:rsidRPr="00000000">
        <w:rPr>
          <w:rtl w:val="0"/>
        </w:rPr>
        <w:t xml:space="preserve"> The system will be migrated from the private testnet to a scalable, low-cost Layer 2 solution on the public Ethereum mainnet, such as Arbitrum or Optimism. This will enable real economic transactions with significantly lower fees and higher throughput than the Ethereum base layer.</w:t>
      </w:r>
    </w:p>
    <w:p w:rsidR="00000000" w:rsidDel="00000000" w:rsidP="00000000" w:rsidRDefault="00000000" w:rsidRPr="00000000" w14:paraId="0000008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 Intelligence Refinement:</w:t>
      </w:r>
      <w:r w:rsidDel="00000000" w:rsidR="00000000" w:rsidRPr="00000000">
        <w:rPr>
          <w:rtl w:val="0"/>
        </w:rPr>
        <w:t xml:space="preserve"> The cognitive models of the Broker Agents, based on Scherer's CPM, will be refined and enhanced using real-world data and feedback from the initial partner cohort. This will involve training the agents to handle a wider variety of queries and make more nuanced decisions.</w:t>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Enterprise-Grade Tooling:</w:t>
      </w:r>
      <w:r w:rsidDel="00000000" w:rsidR="00000000" w:rsidRPr="00000000">
        <w:rPr>
          <w:rtl w:val="0"/>
        </w:rPr>
        <w:t xml:space="preserve"> Development will focus on building out robust, user-facing tools, including sophisticated dashboards for monitoring agent activity, advanced interfaces for the User Proxy Agents, and APIs for seamless integration with partners' existing enterprise resource planning (ERP) and supply chain management (SCM) systems.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phase will necessitate a significantly larger capital injection, likely a Series A funding round, to expand the engineering team, fund business development and partnership efforts, and cover the operational costs of a live network.</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Phase 3: Scaling and Progressive Decentralization (Months 37+)</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validated product and a functioning economic model, Phase 3 will focus on scaling the network and achieving the ultimate vision of a fully decentralized, community-governed protocol. The primary objective is to generate powerful network effects, where each new participant adds value to all existing participants, creating a self-reinforcing cycle of growth.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for this phase is one of </w:t>
      </w:r>
      <w:r w:rsidDel="00000000" w:rsidR="00000000" w:rsidRPr="00000000">
        <w:rPr>
          <w:b w:val="1"/>
          <w:rtl w:val="0"/>
        </w:rPr>
        <w:t xml:space="preserve">progressive decentralization</w:t>
      </w:r>
      <w:r w:rsidDel="00000000" w:rsidR="00000000" w:rsidRPr="00000000">
        <w:rPr>
          <w:rtl w:val="0"/>
        </w:rPr>
        <w:t xml:space="preserve">:</w:t>
      </w:r>
    </w:p>
    <w:p w:rsidR="00000000" w:rsidDel="00000000" w:rsidP="00000000" w:rsidRDefault="00000000" w:rsidRPr="00000000" w14:paraId="0000009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Permissionless Participation:</w:t>
      </w:r>
      <w:r w:rsidDel="00000000" w:rsidR="00000000" w:rsidRPr="00000000">
        <w:rPr>
          <w:rtl w:val="0"/>
        </w:rPr>
        <w:t xml:space="preserve"> The platform will transition from a permissioned model to an open, permissionless one, allowing any data producer, consumer, or broker agent that meets the protocol's standards (including staking requirements) to join the network freely.</w:t>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Public Token Distribution:</w:t>
      </w:r>
      <w:r w:rsidDel="00000000" w:rsidR="00000000" w:rsidRPr="00000000">
        <w:rPr>
          <w:rtl w:val="0"/>
        </w:rPr>
        <w:t xml:space="preserve"> A public sale or liquidity-providing event for the token will be conducted to broaden the distribution of the token, decentralize ownership, and deepen liquidity on decentralized exchanges.</w:t>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DAO Governance Launch:</w:t>
      </w:r>
      <w:r w:rsidDel="00000000" w:rsidR="00000000" w:rsidRPr="00000000">
        <w:rPr>
          <w:rtl w:val="0"/>
        </w:rPr>
        <w:t xml:space="preserve"> A formal </w:t>
      </w:r>
      <w:r w:rsidDel="00000000" w:rsidR="00000000" w:rsidRPr="00000000">
        <w:rPr>
          <w:b w:val="1"/>
          <w:rtl w:val="0"/>
        </w:rPr>
        <w:t xml:space="preserve">Decentralized Autonomous Organization (DAO)</w:t>
      </w:r>
      <w:r w:rsidDel="00000000" w:rsidR="00000000" w:rsidRPr="00000000">
        <w:rPr>
          <w:rtl w:val="0"/>
        </w:rPr>
        <w:t xml:space="preserve"> will be established and given control over the protocol's core parameters and treasury. Token holders will be empowered to collectively govern the future of the ecosystem, including proposing and ratifying protocol upgrades, managing the Ecosystem Fund, and evolving the rules of the marketplace. This transition from a core team-led project to a community-owned utility is the final step in realizing the decentralized vision.</w:t>
      </w:r>
    </w:p>
    <w:p w:rsidR="00000000" w:rsidDel="00000000" w:rsidP="00000000" w:rsidRDefault="00000000" w:rsidRPr="00000000" w14:paraId="0000009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Interoperability:</w:t>
      </w:r>
      <w:r w:rsidDel="00000000" w:rsidR="00000000" w:rsidRPr="00000000">
        <w:rPr>
          <w:rtl w:val="0"/>
        </w:rPr>
        <w:t xml:space="preserve"> A key priority will be building "bridges" and standardized interfaces to ensure interoperability with other major data platforms, blockchain ecosystems, and enterprise data standards. This will position the AIB network as a universal, foundational layer for the broader Web3 and enterprise data economies.</w:t>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Risk Analysis and Mitigation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venture of this ambition faces significant risks across multiple domains. A proactive and transparent approach to identifying and mitigating these risks is crucial for building investor confidence.</w:t>
      </w:r>
    </w:p>
    <w:p w:rsidR="00000000" w:rsidDel="00000000" w:rsidP="00000000" w:rsidRDefault="00000000" w:rsidRPr="00000000" w14:paraId="0000009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Risk:</w:t>
      </w:r>
      <w:r w:rsidDel="00000000" w:rsidR="00000000" w:rsidRPr="00000000">
        <w:rPr>
          <w:rtl w:val="0"/>
        </w:rPr>
        <w:t xml:space="preserve"> The primary technical risk lies in the potential for unforeseen and undesirable emergent behaviors within a complex, autonomous multi-agent system, such as agent collusion to manipulate prices or cascading failures.</w:t>
      </w:r>
    </w:p>
    <w:p w:rsidR="00000000" w:rsidDel="00000000" w:rsidP="00000000" w:rsidRDefault="00000000" w:rsidRPr="00000000" w14:paraId="0000009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The system will be architected with multiple layers of defense. This includes robust, real-time monitoring of agent behavior to detect anomalies, network-level "circuit breakers" that can be triggered by the governance layer to temporarily halt activity in case of a crisis, and the fundamental economic disincentive provided by the staking and slashing mechanism.</w:t>
      </w:r>
    </w:p>
    <w:p w:rsidR="00000000" w:rsidDel="00000000" w:rsidP="00000000" w:rsidRDefault="00000000" w:rsidRPr="00000000" w14:paraId="0000009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Risk:</w:t>
      </w:r>
      <w:r w:rsidDel="00000000" w:rsidR="00000000" w:rsidRPr="00000000">
        <w:rPr>
          <w:rtl w:val="0"/>
        </w:rPr>
        <w:t xml:space="preserve"> The classic "cold start" problem is a major hurdle for any two-sided marketplace. The platform could fail to achieve critical mass if it cannot attract a sufficient number of both data producers and consumers simultaneously.</w:t>
      </w:r>
    </w:p>
    <w:p w:rsidR="00000000" w:rsidDel="00000000" w:rsidP="00000000" w:rsidRDefault="00000000" w:rsidRPr="00000000" w14:paraId="0000009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This risk is addressed directly by the phased GTM strategy. By focusing intensely on a single, high-pain-point niche in Phase 2, the platform can solve a deep problem for a small group of users first, creating demonstrable value before attempting to scale. Furthermore, the token-based incentive program (from the Ecosystem Fund) will be used to subsidize and reward early adopters, effectively reducing the friction of joining the network in its nascent stages.</w:t>
      </w:r>
    </w:p>
    <w:p w:rsidR="00000000" w:rsidDel="00000000" w:rsidP="00000000" w:rsidRDefault="00000000" w:rsidRPr="00000000" w14:paraId="0000009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Execution Risk:</w:t>
      </w:r>
      <w:r w:rsidDel="00000000" w:rsidR="00000000" w:rsidRPr="00000000">
        <w:rPr>
          <w:rtl w:val="0"/>
        </w:rPr>
        <w:t xml:space="preserve"> The technical and strategic roadmap is exceptionally complex and demanding, creating a significant risk that the team may be unable to deliver on its promises.</w:t>
      </w:r>
    </w:p>
    <w:p w:rsidR="00000000" w:rsidDel="00000000" w:rsidP="00000000" w:rsidRDefault="00000000" w:rsidRPr="00000000" w14:paraId="0000009F">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The phased implementation plan is the primary mitigation, breaking down the grand vision into a series of manageable, sequential goals. Success is contingent on building a world-class team. Hiring will focus exclusively on top-tier talent with proven, demonstrable experience in the core domains of multi-agent systems, blockchain engineering, and enterprise software development.</w:t>
      </w:r>
    </w:p>
    <w:p w:rsidR="00000000" w:rsidDel="00000000" w:rsidP="00000000" w:rsidRDefault="00000000" w:rsidRPr="00000000" w14:paraId="000000A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Regulatory Risk:</w:t>
      </w:r>
      <w:r w:rsidDel="00000000" w:rsidR="00000000" w:rsidRPr="00000000">
        <w:rPr>
          <w:rtl w:val="0"/>
        </w:rPr>
        <w:t xml:space="preserve"> The evolving regulatory landscape for digital assets and data privacy presents a substantial external risk. The token could be classified as a security in certain jurisdictions, and the platform must navigate a complex web of data privacy laws like GDPR and CCPA.</w:t>
      </w:r>
    </w:p>
    <w:p w:rsidR="00000000" w:rsidDel="00000000" w:rsidP="00000000" w:rsidRDefault="00000000" w:rsidRPr="00000000" w14:paraId="000000A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This risk must be addressed proactively, not reactively. The project will engage top-tier legal counsel specializing in digital assets and data law from day one. The tokenomics are designed with a heavy emphasis on </w:t>
      </w:r>
      <w:r w:rsidDel="00000000" w:rsidR="00000000" w:rsidRPr="00000000">
        <w:rPr>
          <w:b w:val="1"/>
          <w:rtl w:val="0"/>
        </w:rPr>
        <w:t xml:space="preserve">utility</w:t>
      </w:r>
      <w:r w:rsidDel="00000000" w:rsidR="00000000" w:rsidRPr="00000000">
        <w:rPr>
          <w:rtl w:val="0"/>
        </w:rPr>
        <w:t xml:space="preserve"> (for payments, staking, and governance) to strengthen the argument that it is not merely a speculative investment contract. Most importantly, the core architecture, built around the </w:t>
      </w:r>
      <w:r w:rsidDel="00000000" w:rsidR="00000000" w:rsidRPr="00000000">
        <w:rPr>
          <w:b w:val="1"/>
          <w:rtl w:val="0"/>
        </w:rPr>
        <w:t xml:space="preserve">Honest Broker Protocol</w:t>
      </w:r>
      <w:r w:rsidDel="00000000" w:rsidR="00000000" w:rsidRPr="00000000">
        <w:rPr>
          <w:rtl w:val="0"/>
        </w:rPr>
        <w:t xml:space="preserve">, is an explicit and powerful demonstration of a commitment to responsible, compliant, and privacy-preserving design. This proactive stance on compliance will be a key asset in navigating regulatory scrutiny.</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Part V: The Investment Thesis - Tailored Strategies for Securing Foundational Capital</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The Core Investment Thesis: Owning the OS of the Future Information Economy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Project Chimera represents an opportunity to build and own a foundational layer of the 21st-century digital economy. The core investment thesis is that the future of high-value commerce will be conducted not by humans exchanging emails or APIs exchanging static files, but by autonomous agents negotiating and coordinating complex activities in real-time. We are building the operating system—the universal protocol for trust, coordination, and value exchange—that will enable this future. This is a venture-scale opportunity to establish a new standard, creating a protocol with powerful network effects that has the potential to become a "winner-take-all" or "winner-take-most" network, underpinning trillions of dollars in information-based transactions across finance, logistics, research, and defense. An investment in this project is a bet on the emergence of a true machine-to-machine economy and the platform that will define its architecture.</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The DARPA Pitch: Assured Information Dominance and Strategic Surprise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Framing:</w:t>
      </w:r>
      <w:r w:rsidDel="00000000" w:rsidR="00000000" w:rsidRPr="00000000">
        <w:rPr>
          <w:rtl w:val="0"/>
        </w:rPr>
        <w:t xml:space="preserve"> This proposal is submitted in the spirit of a response to a Broad Agency Announcement (BAA) from the Defense Advanced Research Projects Agency (DARPA), specifically targeting the interests of the Information Innovation Office (I2O) or the Strategic Technology Office (STO). The objective is to secure funding for the Phase 1 Proof-of-Concept as a high-risk, high-reward research and development effort with direct relevance to U.S. national security.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Emphasis:</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Revolutionary Capability:</w:t>
      </w:r>
      <w:r w:rsidDel="00000000" w:rsidR="00000000" w:rsidRPr="00000000">
        <w:rPr>
          <w:rtl w:val="0"/>
        </w:rPr>
        <w:t xml:space="preserve"> The core message will be that this system offers a fundamentally </w:t>
      </w:r>
      <w:r w:rsidDel="00000000" w:rsidR="00000000" w:rsidRPr="00000000">
        <w:rPr>
          <w:b w:val="1"/>
          <w:rtl w:val="0"/>
        </w:rPr>
        <w:t xml:space="preserve">"revolutionary"</w:t>
      </w:r>
      <w:r w:rsidDel="00000000" w:rsidR="00000000" w:rsidRPr="00000000">
        <w:rPr>
          <w:rtl w:val="0"/>
        </w:rPr>
        <w:t xml:space="preserve"> and </w:t>
      </w:r>
      <w:r w:rsidDel="00000000" w:rsidR="00000000" w:rsidRPr="00000000">
        <w:rPr>
          <w:b w:val="1"/>
          <w:rtl w:val="0"/>
        </w:rPr>
        <w:t xml:space="preserve">"disruptive"</w:t>
      </w:r>
      <w:r w:rsidDel="00000000" w:rsidR="00000000" w:rsidRPr="00000000">
        <w:rPr>
          <w:rtl w:val="0"/>
        </w:rPr>
        <w:t xml:space="preserve"> capability, not merely an evolutionary improvement on existing data analysis tools. The platform enables </w:t>
      </w:r>
      <w:r w:rsidDel="00000000" w:rsidR="00000000" w:rsidRPr="00000000">
        <w:rPr>
          <w:b w:val="1"/>
          <w:rtl w:val="0"/>
        </w:rPr>
        <w:t xml:space="preserve">Assured Information Dominance</w:t>
      </w:r>
      <w:r w:rsidDel="00000000" w:rsidR="00000000" w:rsidRPr="00000000">
        <w:rPr>
          <w:rtl w:val="0"/>
        </w:rPr>
        <w:t xml:space="preserve"> by creating a mechanism to autonomously discover, vet, and fuse data from a vast array of disparate, non-cooperative, and potentially adversarial sources. This moves beyond data aggregation to active, intelligent coordination.</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National Security Relevance:</w:t>
      </w:r>
      <w:r w:rsidDel="00000000" w:rsidR="00000000" w:rsidRPr="00000000">
        <w:rPr>
          <w:rtl w:val="0"/>
        </w:rPr>
        <w:t xml:space="preserve"> The use cases presented will be framed explicitly around critical defense and intelligence challenges. Examples include: autonomously mapping and monitoring an adversary's complex military-industrial supply chain by fusing commercial shipping data, satellite imagery analysis, and open-source intelligence; predicting geopolitical instability by identifying and correlating subtle economic and social signals from thousands of sources; and enhancing the security of critical national infrastructure by creating a resilient, decentralized intelligence-sharing network.</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High-Risk, High-Reward Research:</w:t>
      </w:r>
      <w:r w:rsidDel="00000000" w:rsidR="00000000" w:rsidRPr="00000000">
        <w:rPr>
          <w:rtl w:val="0"/>
        </w:rPr>
        <w:t xml:space="preserve"> The proposal will transparently acknowledge the significant technical risks inherent in developing a large-scale autonomous agent ecosystem. However, it will argue that the potential payoff—a paradigm shift in how the Intelligence Community and Department of Defense leverage information—justifies the investment, directly aligning with DARPA's core mission to create and prevent strategic surprise.</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Merit and Credible Plan:</w:t>
      </w:r>
      <w:r w:rsidDel="00000000" w:rsidR="00000000" w:rsidRPr="00000000">
        <w:rPr>
          <w:rtl w:val="0"/>
        </w:rPr>
        <w:t xml:space="preserve"> The pitch will be heavily weighted towards the technical and scientific rigor of the proposal. The detailed architectural plans from Part II and the milestone-driven PoC roadmap from Part IV will serve as the foundation of the submission, demonstrating a deep understanding of the challenges and a credible plan to overcome them. The academic and technical credentials of the core team will be heavily emphasized to establish credibility.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Structure:</w:t>
      </w:r>
      <w:r w:rsidDel="00000000" w:rsidR="00000000" w:rsidRPr="00000000">
        <w:rPr>
          <w:rtl w:val="0"/>
        </w:rPr>
        <w:t xml:space="preserve"> The formal submission will adhere strictly to the format specified in a typical DARPA BAA, including a Technical Volume and a Cost Volume. The Technical Volume will contain: an Executive Summary answering the key questions (what, how, why innovative, impact); a detailed section on Goals and Impact; a comprehensive Technical Plan with measurable milestones; a Management Plan detailing the team and organization; and a Statement of Work.</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The Crypto VC Pitch: Building the Next-Generation Web3 Economy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Framing:</w:t>
      </w:r>
      <w:r w:rsidDel="00000000" w:rsidR="00000000" w:rsidRPr="00000000">
        <w:rPr>
          <w:rtl w:val="0"/>
        </w:rPr>
        <w:t xml:space="preserve"> This pitch is tailored for crypto-native venture capital firms and investors (e.g., Andreessen Horowitz Crypto, Pantera Capital, Polychain Capital) whose investment theses are centered on protocols that generate strong network effects, possess well-designed tokenomics, and have the potential to become foundational pillars of the decentralized Web3 economy.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Emphasis:</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Team's Crypto-Native Edge:</w:t>
      </w:r>
      <w:r w:rsidDel="00000000" w:rsidR="00000000" w:rsidRPr="00000000">
        <w:rPr>
          <w:rtl w:val="0"/>
        </w:rPr>
        <w:t xml:space="preserve"> The narrative will establish the team's credibility and deep immersion in the crypto space. This includes highlighting any prior experience in shipping Web3 products, contributions to open-source protocols, and a fundamental understanding of the unique cultural and security challenges of blockchain development. The pitch must answer the question: "Why is this the right team to win in this highly competitive space?".</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Tokenomics as Core Infrastructure:</w:t>
      </w:r>
      <w:r w:rsidDel="00000000" w:rsidR="00000000" w:rsidRPr="00000000">
        <w:rPr>
          <w:rtl w:val="0"/>
        </w:rPr>
        <w:t xml:space="preserve"> The detailed tokenomics for (from Part 3.3) will be a central focus. The presentation will articulate a clear and compelling story for the token's utility, its value accrual mechanisms, and its role in incentivizing a virtuous cycle of growth. The pitch will demonstrate how the token is not just a fundraising mechanism but the essential engine that aligns the incentives of all ecosystem participants—producers, consumers, brokers, and developers.</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De-Risking and Traction:</w:t>
      </w:r>
      <w:r w:rsidDel="00000000" w:rsidR="00000000" w:rsidRPr="00000000">
        <w:rPr>
          <w:rtl w:val="0"/>
        </w:rPr>
        <w:t xml:space="preserve"> For a seed-stage investment, demonstrating early validation is critical. The detailed PoC plan (Part 4.1) serves as a clear roadmap for de-risking the core technology with the initial investment. Any existing expressions of interest from potential partners, early community growth, or successful testnet results will be highlighted as tangible signs of traction and product-market fit.</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Go-to-Market and Community Building:</w:t>
      </w:r>
      <w:r w:rsidDel="00000000" w:rsidR="00000000" w:rsidRPr="00000000">
        <w:rPr>
          <w:rtl w:val="0"/>
        </w:rPr>
        <w:t xml:space="preserve"> The pitch will present a concrete, specific strategy for bootstrapping the network. Vague statements like "we will build a community" will be avoided. Instead, the plan will outline specific target verticals, initial partnership strategies, and the programmatic incentives that will be used to attract the first 1,000 users and developers to the platform.</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Proactive Regulatory Strategy:</w:t>
      </w:r>
      <w:r w:rsidDel="00000000" w:rsidR="00000000" w:rsidRPr="00000000">
        <w:rPr>
          <w:rtl w:val="0"/>
        </w:rPr>
        <w:t xml:space="preserve"> The presentation will proactively address the regulatory landscape. The "Honest Broker Protocol" will be framed as a key competitive advantage, demonstrating a commitment to compliance and responsible innovation that will allow the platform to thrive in a maturing market and attract institutional participants wary of regulatory risk.</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Structure:</w:t>
      </w:r>
      <w:r w:rsidDel="00000000" w:rsidR="00000000" w:rsidRPr="00000000">
        <w:rPr>
          <w:rtl w:val="0"/>
        </w:rPr>
        <w:t xml:space="preserve"> The presentation will follow a classic venture capital pitch deck format, optimized for clarity and persuasion: 1. Problem; 2. Solution; 3. Why Now?; 4. Market Opportunity; 5. Product Demo/Architecture; 6. Business Model (Tokenomics); 7. Go-to-Market Strategy; 8. Team; 9. The Ask &amp; Use of Funds; 10. Vision.</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5.4. The Palantir / Enterprise VC Pitch: The Enterprise-Grade Autonomous Intelligence Fabric</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Framing:</w:t>
      </w:r>
      <w:r w:rsidDel="00000000" w:rsidR="00000000" w:rsidRPr="00000000">
        <w:rPr>
          <w:rtl w:val="0"/>
        </w:rPr>
        <w:t xml:space="preserve"> This pitch is designed for strategic investors, including major technology corporations like Palantir, their venture arms, and enterprise-focused VCs. The primary motivation for this audience is not token appreciation but finding solutions to complex, real-world problems for large organizations. The pitch will focus on security, governance, integration, and a clear return on investment (ROI).</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Emphasis:</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Solving Concrete Enterprise Pain Points:</w:t>
      </w:r>
      <w:r w:rsidDel="00000000" w:rsidR="00000000" w:rsidRPr="00000000">
        <w:rPr>
          <w:rtl w:val="0"/>
        </w:rPr>
        <w:t xml:space="preserve"> The narrative will begin by grounding the problem in tangible, costly inefficiencies faced by large enterprises. The system will be presented as a direct solution to challenges like supply chain chaos, which costs billions in delays; inefficient insurance brokering, which inflates operational costs; or fragmented financial analysis, which leads to missed opportunities.</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Cross-Organizational Ontology:</w:t>
      </w:r>
      <w:r w:rsidDel="00000000" w:rsidR="00000000" w:rsidRPr="00000000">
        <w:rPr>
          <w:rtl w:val="0"/>
        </w:rPr>
        <w:t xml:space="preserve"> The pitch will use language that resonates with a sophisticated enterprise software audience, particularly Palantir. The AIB system will be described as a platform for creating a dynamic, </w:t>
      </w:r>
      <w:r w:rsidDel="00000000" w:rsidR="00000000" w:rsidRPr="00000000">
        <w:rPr>
          <w:b w:val="1"/>
          <w:rtl w:val="0"/>
        </w:rPr>
        <w:t xml:space="preserve">cross-organizational "Ontology"</w:t>
      </w:r>
      <w:r w:rsidDel="00000000" w:rsidR="00000000" w:rsidRPr="00000000">
        <w:rPr>
          <w:rtl w:val="0"/>
        </w:rPr>
        <w:t xml:space="preserve"> that maps the real-time flow of information, resources, and decisions across an entire value chain. This enables a level of operational awareness and coordinated action that is impossible when each enterprise is limited to its own internal data.</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Governance, and Auditability:</w:t>
      </w:r>
      <w:r w:rsidDel="00000000" w:rsidR="00000000" w:rsidRPr="00000000">
        <w:rPr>
          <w:rtl w:val="0"/>
        </w:rPr>
        <w:t xml:space="preserve"> These aspects will be heavily emphasized as non-negotiable requirements for enterprise adoption. The "Honest Broker Protocol," the robust on-chain security model, the immutable audit trail, and the built-in "human-in-the-loop" oversight mechanisms will be presented as core features, not afterthoughts. This demonstrates a deep understanding of the compliance and risk management needs of regulated industries.</w:t>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Seamless Integration:</w:t>
      </w:r>
      <w:r w:rsidDel="00000000" w:rsidR="00000000" w:rsidRPr="00000000">
        <w:rPr>
          <w:rtl w:val="0"/>
        </w:rPr>
        <w:t xml:space="preserve"> The pitch will stress that the platform is designed to </w:t>
      </w:r>
      <w:r w:rsidDel="00000000" w:rsidR="00000000" w:rsidRPr="00000000">
        <w:rPr>
          <w:b w:val="1"/>
          <w:rtl w:val="0"/>
        </w:rPr>
        <w:t xml:space="preserve">integrate with and augment</w:t>
      </w:r>
      <w:r w:rsidDel="00000000" w:rsidR="00000000" w:rsidRPr="00000000">
        <w:rPr>
          <w:rtl w:val="0"/>
        </w:rPr>
        <w:t xml:space="preserve"> existing enterprise systems—such as data lakes, ERPs, and CRMs—not to replace them. The use of APIs and a flexible architecture ensures that the AIB network can act as an intelligent fabric connecting legacy systems, unlocking value from existing IT investments.</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Business Model and ROI:</w:t>
      </w:r>
      <w:r w:rsidDel="00000000" w:rsidR="00000000" w:rsidRPr="00000000">
        <w:rPr>
          <w:rtl w:val="0"/>
        </w:rPr>
        <w:t xml:space="preserve"> The focus will be on a clear and understandable business model, such as a combination of platform access fees (SaaS-like subscription), transaction fees, and licensing for deploying private instances of the network. Financial projections will emphasize the potential for significant cost savings (e.g., through supply chain optimization) and revenue generation (e.g., through monetization of data products) for enterprise clients.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Structure:</w:t>
      </w:r>
      <w:r w:rsidDel="00000000" w:rsidR="00000000" w:rsidRPr="00000000">
        <w:rPr>
          <w:rtl w:val="0"/>
        </w:rPr>
        <w:t xml:space="preserve"> The presentation will follow a deep-tech enterprise pitch deck structure. It will lead with the problem and its quantifiable business impact, followed by the solution and its defensible technology (IP). The PoC plan will be presented as a pilot program to validate the technology with an initial enterprise partner. The business model, team's enterprise experience, and a clear path to commercialization will be key concluding elements.</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Funding Source Matrix</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effectively navigate the diverse landscape of potential funders, the following matrix codifies the tailored strategies, highlighting the different priorities and narratives required for each target audience. This serves as a strategic guide for all fundraising activities.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Funding Source Strategy Matrix</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DARPA</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Crypto VC</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Enterprise VC / Palantir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Goal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Achieve decisive National Security advantage; Create strategic surprise.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asymmetric financial returns through network effects and token appreciation.</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Achieve strategic ROI; Solve critical, large-scale enterprise problems.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Evaluation Criteria</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Overall Scientific &amp; Technical Merit; Relevance to DARPA Mission; Cost Realism.</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Strength &amp; Credibility of the Team; Soundness &amp; Innovation of Tokenomics; Community &amp; Go-to-Market Strategy.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Viability of the Business Model; Robustness of Security &amp; Governance; Scalability &amp; Integration Capabilities.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Risk Tolerance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tolerance for fundamental R&amp;D risk; Low tolerance for poor planning or lack of ambition.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tolerance for market/regulatory risk; Low tolerance for weak teams or flawed token models.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tolerance for long commercialization timelines; Low tolerance for security flaws or compliance risks.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Pitch Narrative</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"Assured Information Dominance": An autonomous system to fuse intelligence and outpace adversaries.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Web3 Information Economy": A decentralized protocol to power the next generation of data-driven dApps.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Autonomous Intelligence Fabric": An enterprise-grade OS for cross-organizational coordination and optimization.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Deliverable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successful research program culminating in a compelling demonstration of a new capability.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live, decentralized protocol with a launched token, a growing user base, and increasing transaction volume.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successful pilot program with a major enterprise client, leading to a multi-year commercial contract.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Document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BAA-style proposal with Technical and Cost Volumes.</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Persuasive Pitch Deck, detailed Tokenomics Whitepaper, and active community channels (e.g., Discord, Twitter).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Business Case, detailed Security Architecture documents, and a clear ROI analysis.</w:t>
            </w:r>
          </w:p>
        </w:tc>
      </w:tr>
    </w:tbl>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vision articulated in this strategic plan—to create an autonomous information economy—is ambitious, but it is grounded in a confluence of technological maturity and urgent market demand. The proposed architecture represents a novel synthesis of multi-agent systems, decentralized data frameworks, and blockchain-based economics. This integration is not merely an academic exercise; it is a deliberate strategy to create a platform that is simultaneously intelligent, scalable, and, most critically, trustworthy.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roadmap provides a clear, phased approach to de-risk this ambitious undertaking, beginning with a focused, sub-$1 million Proof-of-Concept designed to demonstrate core feasibility. This initial phase provides a tangible and achievable goal for a seed investment or foundational research grant. Subsequent phases are designed to build upon this foundation, progressively scaling the technology and the ecosystem towards a fully decentralized, community-governed public utility.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fundraising strategy acknowledges that a one-size-fits-all approach is insufficient for a project of this nature. By developing tailored narratives and materials for distinct capital sources—from the national security-focused objectives of DARPA to the token-centric models of crypto VCs and the ROI-driven calculus of enterprise investors—the project is positioned to secure the diverse coalition of backing required for long-term success.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 Chimera is more than a technological innovation; it is the blueprint for a new layer of digital infrastructure. It addresses the fundamental bottleneck of the modern era: the inability to coordinate intelligent action at the speed and scale of data creation. By building the operating system for the coming machine-to-machine economy, this venture has the potential to unlock immense value and establish a new, foundational standard for how information is exchanged and utilized across the globe.</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How AI Simplifies Complex Insurance Broker Operations, https://www.damcogroup.com/blogs/ai-simplifies-insurance-brokers-complex-operations 2. Multi-Agent Systems for Supply Chain Optimization Guide - Auxiliobits, https://www.auxiliobits.com/blog/multi-agent-systems-for-supply-chain-a-guide/ 3. How AI Can Help Small-Sized Commercial Insurance Brokers, https://www.limit.com/blog/how-ai-can-help-small-sized-commercial-insurance-brokers/ 4. How Brokers Are Engaging AI Assistants - ICSC, https://www.icsc.com/news-and-views/icsc-exchange/how-brokers-are-engaging-ai-assistants 5. Leveraging AI Multi-Agent Systems in Financial Analysis ..., https://cacm.acm.org/blogcacm/leveraging-ai-multi-agent-systems-in-financial-analysis/ 6. How Snowflake Powers Data Mesh Architecture with an Internal Marketplace - Medium, https://medium.com/snowflake/how-snowflake-powers-data-mesh-architecture-with-an-internal-marketplace-6f2368ae0d8d 7. AWS Data Exchange, https://aws.amazon.com/data-exchange/ 8. What is a data marketplace? | Databricks, https://www.databricks.com/glossary/data-marketplace 9. DATA BROKERS AND SECURITY - NATO Strategic Communications Centre of Excellence, https://stratcomcoe.org/cuploads/pfiles/data_brokers_and_security_20-01-2020.pdf 10. Multi-agent system - Wikipedia, https://en.wikipedia.org/wiki/Multi-agent_system 11. What is a Multiagent System and How Does it Work? - DigitalOcean, https://www.digitalocean.com/resources/articles/multiagent-system 12. View of Creating and Capturing Artificial Emotions in Autonomous Robots and Software Agents | Journal of Web Engineering - River Publishers, https://journals.riverpublishers.com/index.php/JWE/article/view/5775/6957 13. How do multi-agent systems optimize logistics? - Milvus, https://milvus.io/ai-quick-reference/how-do-multiagent-systems-optimize-logistics 14. Multi Agent Systems: Supply Chain Optimization for Manufacturing - Orases, https://orases.com/blog/how-manufacturing-firms-use-multi-agent-systems-supply-chain-optimization/ 15. Palantir Technologies - Wikipedia, https://en.wikipedia.org/wiki/Palantir_Technologies 16. Platform overview • Overview • Palantir, https://palantir.com/docs/foundry/platform-overview/overview/ 17. [2501.00906] Large Language Model Based Multi-Agent System Augmented Complex Event Processing Pipeline for Internet of Multimedia Things - arXiv, https://arxiv.org/abs/2501.00906 18. Large Language Model Based Multi-Agent System Augmented Complex Event Processing Pipeline for Internet of Multimedia Things - arXiv, https://arxiv.org/html/2501.00906v1 19. LLM Multi-Agent Systems: Challenges and Open Problems - arXiv, https://arxiv.org/html/2402.03578v1 20. [2502.14796] A Multi-Agent Perspective on Modern Information Retrieval - arXiv, https://arxiv.org/abs/2502.14796 21. What is Decentralized Data Architecture and How Do Data Products ..., https://www.dawiso.com/blog-post/what-is-decentralized-data-architecture-and-how-do-data-products-fit-in 22. Decentralized finance - Wikipedia, https://en.wikipedia.org/wiki/Decentralized_finance 23. ANRGUSC/DDM: Decentralized Data Marketplace (DDM) - GitHub, https://github.com/ANRGUSC/DDM 24. Decentralized Blockchain-Based IoT Data Marketplaces - MDPI, https://www.mdpi.com/2224-2708/11/3/39 25. Using Privacy-Preserving Algorithms and Blockchain Tokens to ..., https://www.mdpi.com/2073-431X/13/4/104 26. Decentralized Collaboration in Supply Chain Management - GitChain.org, https://www.gitchain.org/decentralized-supply-chain-management/ 27. Multi-agent Systems in Finance: Enhancing Decision ... - SmythOS, https://smythos.com/developers/agent-development/multi-agent-systems-in-finance/ 28. Multi-Agent System Patterns in Financial Services: Architectures for ..., https://builder.aws.com/content/2uDxjoo105xRO6Q7mfkogmOYTVp/multi-agent-system-patterns-in-financial-services-architectures-for-next-generation-ai-solutions 29. Advocate Health Honest Broker for Research | Research ..., https://ctsi.wakehealth.edu/advocate-health-honest-broker-for-research 30. Knowledge broker - Wikipedia, https://en.wikipedia.org/wiki/Knowledge_broker 31. (PDF) An autonomous blockchain‐based computational broker for e‐science, https://www.researchgate.net/publication/380546169_An_autonomous_blockchain-based_computational_broker_for_e-science 32. The Intelligence Community's Policy on Commercially Available ..., https://www.brennancenter.org/our-work/analysis-opinion/intelligence-communitys-policy-commercially-available-data-falls-short 33. Strategic Technology Office-wide Broad Agency Announcement - Defence Science Institute, https://defencescienceinstitute.com/wp-content/uploads/2024/11/HR001125S0001.pdf 34. Data Brokers and Threats to Government Employees | Lawfare, https://www.lawfaremedia.org/article/data-brokers-and-threats-to-government-employees 35. Multi-Agent Systems: Technical &amp; Ethical Challenges of Functioning in a Mixed Group, https://www.amacad.org/publication/daedalus/multi-agent-systems-technical-ethical-challenges-functioning-mixed-group 36. Multi-Agent Systems In Business: Evaluation, Governance And Optimization For Cost And Sustainability - Forbes, https://www.forbes.com/councils/forbestechcouncil/2024/10/22/multi-agent-systems-in-business-evaluation-governance-and-optimization-for-cost-and-sustainability/ 37. Build a Decentralized [Data](#) Marketplace - Ocean Protocol, https://oceanprotocol.com/templates/decentralized-data-marketplace/ 38. Decentralized Data Marketplaces: Facilitating Data Sharing and ..., https://medium.com/coinmonks/decentralized-data-marketplaces-facilitating-data-sharing-and-monetization-64ba2382fa3a 39. How to Build a Blockchain-Based Data Marketplace - Kaleido, https://www.kaleido.io/resources/data-marketplaces 40. What Is Decentralized Finance (DeFi) and How Does It Work? - Investopedia, https://www.investopedia.com/decentralized-finance-defi-5113835 41. Tokenomics: Design, Principles &amp; Market Adaptability - ChainUp, https://www.chainup.com/blog/web3-token-models/ 42. Tokenomics Design: An Ultimate Guide for Crypto Founders - 4IRE labs, https://4irelabs.com/articles/tokenomics-design-guide/ 43. How to Make a Pitch Deck for DeFi Startup [Decentralized Finance ..., https://www.inknarrates.com/post/defi-pitch-deck 44. Crypto Venture Capital: Top 5 Considerations for Investors and Founders - Montague Law, https://montague.law/blog/crypto-venture-capital-top-5-considerations-for-investors-and-founders/ 45. Decentralized data marketplace architecture. | Download Scientific Diagram - ResearchGate, https://www.researchgate.net/figure/Decentralized-data-marketplace-architecture_fig1_362843615 46. Tokenomics Design: What Do Designers Consider? | Space and Time, https://www.spaceandtime.io/blog/tokenomics-design-what-do-designers-consider 47. Tokenomics |The Ultimate Guide to Crypto Economy Design - Rapid Innovation, https://www.rapidinnovation.io/post/tokenomics-guide-mastering-blockchain-token-economics-2024 48. A Guide to DARPA Funding: Process, Financial, and Technical ..., https://everglade.com/wp-content/uploads/guide-to-DARPA-funding.pdf 49. Helpful Guide to DARPA Proposals This guide is not available as a Word document. Disclaimer – the examples provided in this do - Rosen Bioengineering Center, https://rosen.caltech.edu/resources/Guide%20to%20DARPA%20proposals%20v1%20copy.pdf 50. Deep Tech Pitch Deck Template - Founder VC, https://foundervc.org/blog/deep-tech-pitch-deck-template 51. Crypto Venture Capital Due Diligence Checklist (2025 Update) | The ..., https://thecryptorecruiters.io/venture-capital-due-diligence-checklist/ 52. Using Blockchain to Drive Supply Chain Transparency and Innovation | Deloitte US, https://www.deloitte.com/us/en/services/consulting/articles/blockchain-supply-chain-innovation.html 53. Office-Wide Broad Agency Announcements - DARPA, https://www.darpa.mil/research/opportunities/baa 54. HR001125S0002 - Search Results Detail | Grants.gov, https://www.grants.gov/search-results-detail/356901 55. DARPA - Information Innovation Office - Office-Wide BAA - HR001125S0002, https://defencescienceinstitute.com/funding-opportunity/darpa-information-innovation-office-office-wide-baa-hr001125s0002/ 56. Broad Agency Announcement - Microsystems Technology Office (MTO) Office - Defence Science Institute, https://defencescienceinstitute.com/wp-content/uploads/2024/05/HR001124S0028.pdf 57. Proposer Instructions: General Terms and Conditions - DARPA, https://www.darpa.mil/about/offices/contracts-management/proposer-general-terms 58. Top 33 Crypto Venture Capital Funds for Investment in 2025 - Ninjapromo, https://ninjapromo.io/top-30-crypto-vc-investment-funds 59. Crypto Venture Capital - Everything you need to know - Eqvista, https://eqvista.com/company-valuation/valuation-crypto-assets/crypto-venture-capital/ 60. Starting your fundraising pitch deck - Stripe, https://stripe.com/guides/atlas/pitchdeck 61. How to Make a Crypto Pitch Deck [A Guide], https://www.inknarrates.com/post/crypto-pitch-deck 62. Crypto pitch deck templates that get you funded - Storydoc, https://www.storydoc.com/templates/crypto-pitch-deck 63. 30 Startup Investment Pitch Deck Examples (+Templates) - Venngage, https://venngage.com/blog/best-pitch-decks/ 64. Pitchdeck | Deeptech VC: Cottonwood Technology Fund, https://www.cottonwood.vc/pitchdeck/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