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6874" w:rsidRPr="00615BB8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sz w:val="24"/>
          <w:lang w:eastAsia="ru-RU"/>
        </w:rPr>
      </w:pPr>
      <w:r w:rsidRPr="00615BB8">
        <w:rPr>
          <w:rFonts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lang w:eastAsia="ru-RU"/>
        </w:rPr>
      </w:pPr>
      <w:r>
        <w:rPr>
          <w:rFonts w:cs="Times New Roman"/>
          <w:color w:val="000000"/>
          <w:lang w:eastAsia="ru-RU"/>
        </w:rPr>
        <w:t>Федеральное государственное бюджетное образовательное учреждение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lang w:eastAsia="ru-RU"/>
        </w:rPr>
      </w:pPr>
      <w:r>
        <w:rPr>
          <w:rFonts w:cs="Times New Roman"/>
          <w:color w:val="000000"/>
          <w:lang w:eastAsia="ru-RU"/>
        </w:rPr>
        <w:t>высшего образования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«КУБАНСКИЙ ГОСУДАРСТВЕННЫЙ УНИВЕРСИТЕТ»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(ФГБОУ ВО «КубГУ»)</w:t>
      </w:r>
    </w:p>
    <w:p w:rsidR="00A96874" w:rsidRDefault="00A96874" w:rsidP="00A96874">
      <w:pPr>
        <w:suppressAutoHyphens/>
        <w:spacing w:line="240" w:lineRule="auto"/>
        <w:ind w:firstLine="0"/>
        <w:jc w:val="center"/>
        <w:rPr>
          <w:rFonts w:eastAsia="Noto Serif CJK SC" w:cs="Times New Roman"/>
          <w:szCs w:val="28"/>
          <w:lang w:eastAsia="zh-CN" w:bidi="hi-IN"/>
        </w:rPr>
      </w:pPr>
      <w:r>
        <w:rPr>
          <w:rFonts w:eastAsia="Noto Serif CJK SC" w:cs="Times New Roman"/>
          <w:b/>
          <w:szCs w:val="28"/>
          <w:lang w:eastAsia="zh-CN" w:bidi="hi-IN"/>
        </w:rPr>
        <w:t>Факультет компьютерных технологий и прикладной математики</w:t>
      </w:r>
    </w:p>
    <w:p w:rsidR="00A96874" w:rsidRDefault="00A96874" w:rsidP="00A96874">
      <w:pPr>
        <w:spacing w:line="240" w:lineRule="auto"/>
        <w:ind w:left="-142" w:firstLine="0"/>
        <w:jc w:val="center"/>
        <w:rPr>
          <w:rFonts w:eastAsia="Calibri" w:cs="Times New Roman"/>
          <w:b/>
          <w:color w:val="000000"/>
          <w:szCs w:val="28"/>
        </w:rPr>
      </w:pPr>
      <w:r>
        <w:rPr>
          <w:rFonts w:eastAsia="Calibri" w:cs="Times New Roman"/>
          <w:b/>
          <w:color w:val="000000"/>
          <w:szCs w:val="28"/>
        </w:rPr>
        <w:t>Кафедра прикладной математики</w:t>
      </w:r>
    </w:p>
    <w:p w:rsidR="00A96874" w:rsidRDefault="00A96874" w:rsidP="00A96874">
      <w:pPr>
        <w:spacing w:line="240" w:lineRule="auto"/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left" w:pos="4320"/>
          <w:tab w:val="left" w:pos="5040"/>
          <w:tab w:val="left" w:pos="5760"/>
          <w:tab w:val="left" w:pos="6480"/>
          <w:tab w:val="left" w:pos="7200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right" w:pos="8306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right" w:pos="8306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br/>
        <w:t>лабораторной работе №1</w:t>
      </w:r>
    </w:p>
    <w:p w:rsidR="00A96874" w:rsidRDefault="00A96874" w:rsidP="00A96874">
      <w:pPr>
        <w:suppressAutoHyphens/>
        <w:overflowPunct w:val="0"/>
        <w:adjustRightInd w:val="0"/>
        <w:ind w:firstLine="0"/>
        <w:jc w:val="center"/>
        <w:textAlignment w:val="baseline"/>
        <w:rPr>
          <w:rFonts w:cs="Times New Roman"/>
          <w:b/>
          <w:caps/>
          <w:color w:val="000000"/>
          <w:szCs w:val="28"/>
          <w:lang w:eastAsia="ru-RU"/>
        </w:rPr>
      </w:pPr>
    </w:p>
    <w:p w:rsidR="00CE5B13" w:rsidRDefault="00CE5B13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ПО </w:t>
      </w:r>
      <w:r w:rsidR="00A96874">
        <w:rPr>
          <w:rFonts w:ascii="Times New Roman" w:hAnsi="Times New Roman"/>
          <w:b/>
          <w:bCs/>
          <w:color w:val="000000" w:themeColor="text1"/>
          <w:sz w:val="28"/>
          <w:szCs w:val="28"/>
        </w:rPr>
        <w:t>ТЕХНОЛОГИИ ПРОЕКТИРОВАНИЯ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ПО</w:t>
      </w:r>
    </w:p>
    <w:p w:rsidR="00A96874" w:rsidRDefault="00A96874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АНАЛИЗ ПРЕДМЕТНОЙ ОБЛАСТИ</w:t>
      </w:r>
    </w:p>
    <w:p w:rsidR="00A96874" w:rsidRPr="003C253E" w:rsidRDefault="00A96874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Pr="00290F90" w:rsidRDefault="00A96874" w:rsidP="00A96874">
      <w:pPr>
        <w:suppressAutoHyphens/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lang w:eastAsia="ru-RU"/>
        </w:rPr>
        <w:t>Работу выполнил</w:t>
      </w:r>
      <w:r>
        <w:rPr>
          <w:rFonts w:cs="Times New Roman"/>
          <w:color w:val="000000"/>
          <w:szCs w:val="28"/>
          <w:u w:val="single"/>
          <w:lang w:eastAsia="ru-RU"/>
        </w:rPr>
        <w:t xml:space="preserve">                                                        </w:t>
      </w:r>
      <w:r>
        <w:rPr>
          <w:rFonts w:cs="Times New Roman"/>
          <w:color w:val="000000"/>
          <w:szCs w:val="28"/>
        </w:rPr>
        <w:t>Владимир Хачатурян</w:t>
      </w:r>
    </w:p>
    <w:p w:rsidR="00A96874" w:rsidRPr="00290F90" w:rsidRDefault="00A96874" w:rsidP="00A96874">
      <w:pPr>
        <w:tabs>
          <w:tab w:val="left" w:pos="3855"/>
        </w:tabs>
        <w:spacing w:line="240" w:lineRule="auto"/>
        <w:ind w:firstLine="0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(подпись)</w:t>
      </w:r>
    </w:p>
    <w:p w:rsidR="00A96874" w:rsidRPr="00290F90" w:rsidRDefault="00A96874" w:rsidP="00A96874">
      <w:pPr>
        <w:tabs>
          <w:tab w:val="left" w:pos="3855"/>
        </w:tabs>
        <w:spacing w:line="240" w:lineRule="auto"/>
        <w:ind w:firstLine="0"/>
        <w:jc w:val="center"/>
        <w:rPr>
          <w:rFonts w:cs="Times New Roman"/>
          <w:sz w:val="20"/>
          <w:szCs w:val="20"/>
        </w:rPr>
      </w:pP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Направление подготовки </w:t>
      </w:r>
      <w:r>
        <w:rPr>
          <w:rFonts w:cs="Times New Roman"/>
          <w:szCs w:val="28"/>
          <w:u w:val="single"/>
        </w:rPr>
        <w:t xml:space="preserve">01.03.02 Прикладная математика и информатика             </w:t>
      </w:r>
      <w:r>
        <w:rPr>
          <w:rFonts w:cs="Times New Roman"/>
          <w:szCs w:val="28"/>
        </w:rPr>
        <w:t>курс</w:t>
      </w:r>
      <w:r w:rsidR="00C16D4D">
        <w:rPr>
          <w:rFonts w:cs="Times New Roman"/>
          <w:szCs w:val="28"/>
          <w:u w:val="single"/>
        </w:rPr>
        <w:t xml:space="preserve"> 4</w:t>
      </w: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49010F" w:rsidRDefault="0049010F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lang w:eastAsia="ru-RU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Краснодар</w:t>
      </w:r>
    </w:p>
    <w:p w:rsidR="00A96874" w:rsidRPr="003E6081" w:rsidRDefault="00A96874" w:rsidP="00A96874">
      <w:pPr>
        <w:ind w:firstLine="0"/>
        <w:jc w:val="center"/>
        <w:rPr>
          <w:rFonts w:cs="Times New Roman"/>
          <w:color w:val="000000"/>
          <w:szCs w:val="28"/>
          <w:lang w:eastAsia="ru-RU"/>
        </w:rPr>
        <w:sectPr w:rsidR="00A96874" w:rsidRPr="003E6081" w:rsidSect="00A96874">
          <w:footerReference w:type="even" r:id="rId7"/>
          <w:footerReference w:type="default" r:id="rId8"/>
          <w:pgSz w:w="11906" w:h="16838"/>
          <w:pgMar w:top="1134" w:right="850" w:bottom="1134" w:left="1701" w:header="709" w:footer="709" w:gutter="0"/>
          <w:pgNumType w:start="1" w:chapStyle="1" w:chapSep="period"/>
          <w:cols w:space="708"/>
          <w:titlePg/>
          <w:docGrid w:linePitch="381"/>
        </w:sectPr>
      </w:pPr>
      <w:r>
        <w:rPr>
          <w:rFonts w:cs="Times New Roman"/>
          <w:color w:val="000000"/>
          <w:szCs w:val="28"/>
          <w:lang w:eastAsia="ru-RU"/>
        </w:rPr>
        <w:t>2026</w:t>
      </w:r>
    </w:p>
    <w:p>
      <w:pPr>
        <w:keepNext w:val="0"/>
        <w:spacing w:line="360" w:lineRule="auto" w:before="0" w:after="3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Лабораторная работа №1</w:t>
      </w:r>
    </w:p>
    <w:p>
      <w:pPr>
        <w:spacing w:line="360" w:lineRule="auto"/>
        <w:ind w:firstLine="85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Тема: </w:t>
      </w:r>
      <w:r>
        <w:rPr>
          <w:rFonts w:ascii="Times New Roman" w:hAnsi="Times New Roman" w:eastAsia="Times New Roman"/>
          <w:color w:val="000000"/>
          <w:sz w:val="28"/>
        </w:rPr>
        <w:t>анализ предметной области.</w:t>
      </w:r>
    </w:p>
    <w:p>
      <w:pPr>
        <w:spacing w:line="360" w:lineRule="auto"/>
        <w:ind w:firstLine="85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Цель: </w:t>
      </w:r>
      <w:r>
        <w:rPr>
          <w:rFonts w:ascii="Times New Roman" w:hAnsi="Times New Roman" w:eastAsia="Times New Roman"/>
          <w:color w:val="000000"/>
          <w:sz w:val="28"/>
        </w:rPr>
        <w:t>изучение и системное представление бизнес-процессов, подлежащих программированию, приобретение навыков системного анализа объектов и процессов реального мира на предмет организации программного управления ими.</w:t>
      </w:r>
    </w:p>
    <w:p>
      <w:pPr>
        <w:spacing w:line="360" w:lineRule="auto"/>
        <w:ind w:firstLine="85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Индивидуальная тема: </w:t>
      </w:r>
      <w:r>
        <w:rPr>
          <w:rFonts w:ascii="Times New Roman" w:hAnsi="Times New Roman" w:eastAsia="Times New Roman"/>
          <w:color w:val="000000"/>
          <w:sz w:val="28"/>
        </w:rPr>
        <w:t>разработка методов адаптивной рекомендации музыкального контента с учетом долгосрочных и краткосрочных предпочтений пользователя.</w:t>
      </w:r>
    </w:p>
    <w:p>
      <w:pPr>
        <w:keepNext w:val="0"/>
        <w:spacing w:line="360" w:lineRule="auto" w:before="200" w:after="4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Задание: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Дать характеристику объекта информатизации: наименование, назначение, структура, задачи, действующие лица.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Выполнить системное описание заданного бизнес-процесса и выполнить его декомпозицию на подпроцессы (задачи).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Построить модель «Чёрный ящик» и диаграмму вариантов использования UML. Описать построенные модели. Сформировать реестры инфопотоков.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Дать характеристику схеме решения задач в ручном режиме и выделить её недостатки.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Обосновать необходимость усовершенствования и развития существующей схемы решения задач за счёт создания специального программного обеспечения.</w:t>
      </w:r>
    </w:p>
    <w:p>
      <w:pPr>
        <w:keepNext/>
        <w:spacing w:line="360" w:lineRule="auto" w:before="24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 Характеристика объекта информатизации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 Наименование объекта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качестве объекта информатизации рассматривается музыкальная стриминговая платформа с подсистемой адаптивных рекомендаций. Платформа обеспечивает полный цикл работы с музыкальным контентом: получение прав и материалов, ведение каталога, регистрацию и обслуживание слушателей, поиск и воспроизведение, персонализацию, поддержку и анализ качества.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1.2 Краткая характеристика объекта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Музыкальная стриминговая платформа предоставляет пользователю доступ к каталогу аудиозаписей, исполнителей, альбомов, редакционных подборок и персональных радиостанций. До публикации контента сотрудники платформы согласуют условия с правообладателями, принимают материалы, проверяют метаданные, устанавливают сроки и территории доступности. После регистрации пользователь управляет профилем и подпиской, выполняет поиск, прослушивает композиции, ведёт коллекцию и обращается в службу поддержки.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Особенность объекта состоит в изменчивости интересов слушателя. Долгосрочный профиль отражает устойчивые предпочтения по исполнителям, жанрам, эпохам и характеристикам звучания, а краткосрочный профиль описывает намерение в текущей сессии, например выбор музыки для тренировки, работы или отдыха. Рекомендация должна совместно учитывать оба уровня, доступность контента, разнообразие выдачи и ограничения по уже прослушанным или отклонённым композициям.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Объект рассматривается как проектируемая система; количественные значения интенсивности потоков и трудозатрат, приведённые далее, являются проектными оценками для учебной модели, а не показателями конкретного коммерческого сервиса.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1.3 Структурная схема объекта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Структура объекта включает клиентские приложения, каталог и сервис воспроизведения, подсистему сбора событий, хранилище профилей и признаков, сервис формирования кандидатов, ML-модель ранжирования, модуль постобработки и контур мониторинга. Их взаимосвязь показана на рисунке 1.</w:t>
      </w:r>
    </w:p>
    <w:p>
      <w:pPr>
        <w:spacing w:before="8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16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 – Структурная схема объекта информатизации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1.4 Комментарии компонентов структурной схемы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Задачи компонентов структурной схемы и особенности их взаимодействия приведены в таблице 1.</w:t>
      </w:r>
    </w:p>
    <w:p>
      <w:pPr>
        <w:keepNext/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Таблица 1 – Характеристика компонентов структурной схемы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09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Компонент</w:t>
            </w:r>
          </w:p>
        </w:tc>
        <w:tc>
          <w:tcPr>
            <w:tcW w:type="dxa" w:w="357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Задачи (функции)</w:t>
            </w:r>
          </w:p>
        </w:tc>
        <w:tc>
          <w:tcPr>
            <w:tcW w:type="dxa" w:w="311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Особенности взаимодействия</w:t>
            </w:r>
          </w:p>
        </w:tc>
      </w:tr>
      <w:tr>
        <w:trPr>
          <w:cantSplit/>
        </w:trP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Клиентские приложения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Передача запроса рекомендации, отображение подборки, воспроизведение и регистрация действий слушателя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Взаимодействуют с пользователем и прикладным интерфейсом платформы</w:t>
            </w:r>
          </w:p>
        </w:tc>
      </w:tr>
      <w:tr>
        <w:trPr>
          <w:cantSplit/>
        </w:trP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Каталог и воспроизведение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Хранение метаданных, проверка доступности, выдача аудиопотока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Передаёт сведения о композициях и факты воспроизведения</w:t>
            </w:r>
          </w:p>
        </w:tc>
      </w:tr>
      <w:tr>
        <w:trPr>
          <w:cantSplit/>
        </w:trP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Сбор событий и контекста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Приём, проверка и нормализация событий текущей сессии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Формирует последовательность действий для обновления краткосрочного профиля</w:t>
            </w:r>
          </w:p>
        </w:tc>
      </w:tr>
      <w:tr>
        <w:trPr>
          <w:cantSplit/>
        </w:trP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Хранилище профилей и признаков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Хранение истории, агрегатов, эмбеддингов пользователя и объектов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Обслуживает пакетное обучение и оперативное ранжирование</w:t>
            </w:r>
          </w:p>
        </w:tc>
      </w:tr>
      <w:tr>
        <w:trPr>
          <w:cantSplit/>
        </w:trP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Формирование кандидатов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Быстрый отбор потенциально релевантных композиций из каталога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Использует коллаборативные, контентные и популярностные источники</w:t>
            </w:r>
          </w:p>
        </w:tc>
      </w:tr>
      <w:tr>
        <w:trPr>
          <w:cantSplit/>
        </w:trP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ML-ранжирование и адаптация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Оценка релевантности и динамическое сочетание долгосрочных и краткосрочных сигналов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Получает кандидатов и признаки, возвращает оценки полезности</w:t>
            </w:r>
          </w:p>
        </w:tc>
      </w:tr>
      <w:tr>
        <w:trPr>
          <w:cantSplit/>
        </w:trP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Фильтрация и диверсификация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Удаление недоступных и нежелательных объектов, контроль повторов, разнообразия и новизны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Формирует окончательный порядок выдачи</w:t>
            </w:r>
          </w:p>
        </w:tc>
      </w:tr>
      <w:tr>
        <w:trPr>
          <w:cantSplit/>
        </w:trP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Мониторинг и обучение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Расчёт метрик, контроль дрейфа, A/B-тестирование, подготовка новых версий модели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Используется ML-специалистом и аналитиком</w:t>
            </w:r>
          </w:p>
        </w:tc>
      </w:tr>
    </w:tbl>
    <w:p/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Действующими лицами объекта являются только люди, выполняющие определённые роли: слушатель, представитель правообладателя, менеджер по работе с правообладателями, контент-менеджер, ML-специалист, аналитик, администратор платформы и специалист службы поддержки. Слушатель использует каталог и формирует обратную связь; представитель правообладателя передаёт контент и документы; менеджер согласует права; контент-менеджер публикует и актуализирует каталог; ML-специалист разрабатывает рекомендательные модели; аналитик оценивает качество; администратор управляет доступом и работоспособностью; специалист поддержки обрабатывает обращения.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1.5 Показатели эффективности функционирования объекта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оценки эффективности объекта предлагается использовать три укрупнённых показателя.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Качество пользовательского опыта: доля ранних пропусков, средняя длительность сессии, число завершённых прослушиваний и скорость обработки обращений.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Качество персонализации: NDCG@K и Recall@K, покрытие каталога, разнообразие и новизна рекомендаций.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Операционная эффективность: время публикации релиза, доля контента с корректными правами и метаданными, доступность платформы и задержка формирования выдачи.</w:t>
      </w:r>
    </w:p>
    <w:p>
      <w:pPr>
        <w:keepNext/>
        <w:spacing w:line="360" w:lineRule="auto" w:before="24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 Системное описание бизнес-процесса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2.1 Наименование и описание процесса информатизации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Процессу информатизации присвоено наименование «Предоставление персонализированного музыкального контента на стриминговой платформе». Его целевая функция состоит в законном и бесперебойном предоставлении слушателю доступного музыкального контента, соответствующего его запросу, устойчивым интересам и цели текущей сессии.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Бизнес-процесс начинается до обращения слушателя. Менеджер по работе с правообладателями согласует состав передаваемого контента, сроки, территории и иные лицензионные ограничения. Контент-менеджер принимает аудиофайлы и метаданные, проверяет их полноту, выполняет классификацию и модерацию, задаёт доступность и формирует редакционные подборки. Результатом является опубликованный и юридически допустимый каталог.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Слушатель регистрируется, принимает условия обработки данных, настраивает профиль и при необходимости оформляет подписку. В ходе использования платформы он выполняет поиск, просматривает каталог, запускает и пропускает композиции, управляет очередью и собственной коллекцией. Администратор платформы контролирует роли, доступ и работоспособность, а специалист поддержки рассматривает обращения по учётной записи, подписке, контенту и воспроизведению.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персонализации собираются события взаимодействия. После проверки и очистки из них формируются долгосрочный профиль устойчивых интересов и краткосрочное представление текущей сессии. Источники кандидатов отбирают потенциально релевантные композиции, ML-модель оценивает их, адаптивно сочетая два горизонта предпочтений. Затем применяются лицензионные ограничения, фильтрация повторов и диверсификация. Готовая подборка включается в интерфейс поиска, персональной ленты или радио и используется при формировании очереди воспроизведения.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Реакция слушателя возвращается в поток событий. Аналитик рассчитывает продуктовые и рекомендательные метрики, а ML-специалист обучает новые версии модели и проводит контролируемые эксперименты. При снижении качества или техническом инциденте администратор и ответственные специалисты выполняют откат, корректируют правила или ограничивают проблемный контент. Таким образом, рекомендательная модель является важной, но не единственной частью единого бизнес-процесса платформы.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2.2 Состав действующих лиц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процессе задействованы восемь действующих лиц, каждое из которых является человеком или человеческой ролью. Слушатель регистрируется, выбирает контент, прослушивает музыку и формирует обратную связь. Представитель правообладателя передаёт музыкальные материалы, метаданные и документы. Менеджер по работе с правообладателями согласует лицензионные условия и сроки доступности. Контент-менеджер принимает, проверяет, классифицирует и публикует материалы. ML-специалист готовит данные, обучает и публикует модели. Аналитик контролирует метрики и эксперименты. Администратор платформы управляет ролями, доступом, конфигурациями и инцидентами. Специалист поддержки принимает и разрешает обращения слушателей.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2.3 Модель «Чёрный ящик»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Модель «Чёрный ящик» представлена на рисунке 2. Входами являются регистрационные данные и настройки, пользовательские запросы и события, отзывы и обращения, музыкальный контент и лицензионные условия. Управление образуют законодательство, договоры, политика конфиденциальности, правила подписки и критерии качества. Механизмами выступают только действующие лица: слушатель и сотрудники платформы. На выходе формируются учётная запись и права доступа, опубликованный каталог, результаты поиска и персональные подборки, воспроизведённый контент, ответы поддержки и отчёты о качестве.</w:t>
      </w:r>
    </w:p>
    <w:p>
      <w:pPr>
        <w:spacing w:before="8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794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ck_bo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4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 – Модель «Чёрный ящик» бизнес-процесса стриминговой платформы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2.4 Декомпозиция бизнес-процесса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соответствии с принципом системного анализа из методических указаний декомпозиция выполнена в два уровня. На первом уровне выделены девять относительно самостоятельных подпроцессов, каждый из которых приводит к результату определённого вида. На втором уровне каждый подпроцесс разделён на три операции. Декомпозиция охватывает не только ML-ранжирование, но и работу с пользователями и правообладателями, каталогом, прослушиванием, данными, качеством, поддержкой и администрированием. Диаграмма приведена на рисунке 3.</w:t>
      </w:r>
    </w:p>
    <w:p>
      <w:pPr>
        <w:spacing w:before="8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67299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m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29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3 – Декомпозиция бизнес-процесса на подпроцессы и подзадачи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Общая информация о задачах бизнес-процесса приведена в таблице 2.</w:t>
      </w:r>
    </w:p>
    <w:p>
      <w:pPr>
        <w:keepNext/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Таблица 2 – Задачи бизнес-процесса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13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Номер</w:t>
            </w:r>
          </w:p>
        </w:tc>
        <w:tc>
          <w:tcPr>
            <w:tcW w:type="dxa" w:w="323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Наименование задачи</w:t>
            </w:r>
          </w:p>
        </w:tc>
        <w:tc>
          <w:tcPr>
            <w:tcW w:type="dxa" w:w="442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 выполнения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Управление пользователями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Подтверждённая учётная запись, профиль, согласия и права доступа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с правообладателями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Согласованные условия использования и комплект контента с документами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Управление музыкальным каталогом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Проверенный, классифицированный и опубликованный каталог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Организация прослушивания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Результат поиска, сформированная очередь и воспроизведённая композиция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Сбор и подготовка данных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Очищенные события, витрины данных и рассчитанные признаки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Моделирование предпочтений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Актуальные долгосрочный профиль и контекст текущей сессии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Формирование рекомендаций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Персональная подборка с учётом доступности, качества и разнообразия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Управление качеством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Рассчитанные метрики, результат эксперимента и решение о версии модели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Поддержка и администрирование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Разрешённое обращение, настроенный доступ и отчёт об инцидентах</w:t>
            </w:r>
          </w:p>
        </w:tc>
      </w:tr>
    </w:tbl>
    <w:p/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2.5 Модель вариантов использования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Базовая модель вариантов использования построена без детализации внутренних алгоритмов и приведена на рисунке 4. Все акторы на диаграмме являются людьми и соответствуют механизмам модели «Чёрный ящик».</w:t>
      </w:r>
    </w:p>
    <w:p>
      <w:pPr>
        <w:spacing w:before="8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4654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4 – Модель вариантов использования UML стриминговой платформы</w:t>
      </w:r>
    </w:p>
    <w:p>
      <w:pPr>
        <w:keepNext/>
        <w:pageBreakBefore/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Таблица 3 – Состав прецедентов и действующих лиц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2835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Прецедент</w:t>
            </w:r>
          </w:p>
        </w:tc>
        <w:tc>
          <w:tcPr>
            <w:tcW w:type="dxa" w:w="232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Действующие лица</w:t>
            </w:r>
          </w:p>
        </w:tc>
        <w:tc>
          <w:tcPr>
            <w:tcW w:type="dxa" w:w="306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Связанные информационные потоки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Управлять учётной записью и подпиской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Слушатель; администратор платформы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Вх. 1, 2; внутр. 1; вых. 1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Искать и прослушивать музыку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Слушатель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Вх. 5; внутр. 4; вых. 3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Получать адаптивные рекомендации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Слушатель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Вх. 5, 6; внутр. 5–9; вых. 4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Управлять коллекцией и обратной связью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Слушатель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Вх. 6; внутр. 5; вых. 5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Управлять правами и доступностью контента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Представитель правообладателя; менеджер по работе с правообладателями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Вх. 3, 4; внутр. 2; вых. 2, 7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Публиковать и редактировать каталог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Контент-менеджер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Вх. 3, 4; внутр. 2, 3; вых. 2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Обучать и публиковать модель рекомендаций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ML-специалист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Вх. 7; внутр. 5–10; вых. 8, 9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Настраивать правила рекомендаций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ML-специалист; контент-менеджер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Вх. 7; внутр. 7, 8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Оценивать качество и проводить эксперименты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Аналитик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Вх. 6; внутр. 4, 10; вых. 8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Обрабатывать обращения пользователей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Специалист поддержки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Вх. 8; внутр. 11; вых. 6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Администрировать роли, доступ и инциденты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Администратор платформы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Вх. 1, 8; внутр. 1, 11; вых. 1, 6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Формировать отчётность по работе платформы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Аналитик; администратор платформы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Внутр. 10, 11; вых. 7, 8</w:t>
            </w:r>
          </w:p>
        </w:tc>
      </w:tr>
    </w:tbl>
    <w:p/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Соответствие моделей проверено по правилам методических указаний. Для каждого входного и выходного потока существует прецедент обработки или формирования; каждый прецедент связан хотя бы с одним потоком; состав действующих лиц совпадает с механизмами модели «Чёрный ящик». Внутренние операции модели не вводятся как самостоятельные акторы.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2.6 Реестры информационных потоков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Реестры входных, внутренних и выходных информационных потоков представлены в таблицах 4–6. В соответствии с методическими указаниями трудозатраты выражены в человеко-часах. Для полностью автоматической обработки без участия сотрудника указано значение 0.</w:t>
      </w:r>
    </w:p>
    <w:p>
      <w:pPr>
        <w:keepNext/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Таблица 4 – Реестр входных информационных потоков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</w:trPr>
        <w:tc>
          <w:tcPr>
            <w:tcW w:type="dxa" w:w="45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№</w:t>
            </w:r>
          </w:p>
        </w:tc>
        <w:tc>
          <w:tcPr>
            <w:tcW w:type="dxa" w:w="204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Наименование и назначение</w:t>
            </w:r>
          </w:p>
        </w:tc>
        <w:tc>
          <w:tcPr>
            <w:tcW w:type="dxa" w:w="130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Форма представления</w:t>
            </w:r>
          </w:p>
        </w:tc>
        <w:tc>
          <w:tcPr>
            <w:tcW w:type="dxa" w:w="141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Обработчик</w:t>
            </w:r>
          </w:p>
        </w:tc>
        <w:tc>
          <w:tcPr>
            <w:tcW w:type="dxa" w:w="141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Корреспондент</w:t>
            </w:r>
          </w:p>
        </w:tc>
        <w:tc>
          <w:tcPr>
            <w:tcW w:type="dxa" w:w="85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Трудозатраты</w:t>
            </w:r>
          </w:p>
        </w:tc>
        <w:tc>
          <w:tcPr>
            <w:tcW w:type="dxa" w:w="136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Периодичность, регламент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Регистрационные данные, настройки и согласия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Электронная форма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 платформы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Слушатель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0,05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 регистрации и изменении профиля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Заявка на подписку или изменение доступа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Электронная заявка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 платформы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Слушатель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0,05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 требованию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Пакет музыкального контента и лицензионные документы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Файлы и документы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по работе с правообладателями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Представитель правообладателя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2,0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Для каждого релиза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Метаданные, жанровые и возрастные признаки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Карточка контента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Контент-менеджер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Представитель правообладателя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0,5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Для каждого релиза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Запрос поиска, прослушивания или рекомендации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Электронная команда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 платформы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Слушатель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 требованию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События взаимодействия и явная обратная связь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Событие журнала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Аналитик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Слушатель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 ходе каждой активной сессии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Задание на обучение модели и критерии эксперимента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Электронный документ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ML-специалист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Аналитик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1,0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 запуске версии или эксперимента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Обращение по работе платформы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Электронная заявка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Специалист поддержки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Слушатель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0,25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 требованию</w:t>
            </w:r>
          </w:p>
        </w:tc>
      </w:tr>
    </w:tbl>
    <w:p/>
    <w:p>
      <w:pPr>
        <w:keepNext/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Таблица 5 – Реестр внутренних информационных потоков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</w:trPr>
        <w:tc>
          <w:tcPr>
            <w:tcW w:type="dxa" w:w="45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№</w:t>
            </w:r>
          </w:p>
        </w:tc>
        <w:tc>
          <w:tcPr>
            <w:tcW w:type="dxa" w:w="204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Наименование и назначение</w:t>
            </w:r>
          </w:p>
        </w:tc>
        <w:tc>
          <w:tcPr>
            <w:tcW w:type="dxa" w:w="130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Форма представления</w:t>
            </w:r>
          </w:p>
        </w:tc>
        <w:tc>
          <w:tcPr>
            <w:tcW w:type="dxa" w:w="141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Обработчик</w:t>
            </w:r>
          </w:p>
        </w:tc>
        <w:tc>
          <w:tcPr>
            <w:tcW w:type="dxa" w:w="141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Корреспондент</w:t>
            </w:r>
          </w:p>
        </w:tc>
        <w:tc>
          <w:tcPr>
            <w:tcW w:type="dxa" w:w="85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Трудозатраты</w:t>
            </w:r>
          </w:p>
        </w:tc>
        <w:tc>
          <w:tcPr>
            <w:tcW w:type="dxa" w:w="136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Периодичность, регламент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Проверенный профиль и права доступа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Запись профиля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 платформы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Слушатель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0,02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 входе и изменении данных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Реестр лицензионных ограничений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Электронный реестр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по работе с правообладателями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Контент-менеджер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0,5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 поступлении или изменении прав</w:t>
            </w:r>
          </w:p>
        </w:tc>
      </w:tr>
    </w:tbl>
    <w:p/>
    <w:p>
      <w:pPr>
        <w:keepNext/>
        <w:pageBreakBefore/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Продолжение таблицы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</w:trPr>
        <w:tc>
          <w:tcPr>
            <w:tcW w:type="dxa" w:w="45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№</w:t>
            </w:r>
          </w:p>
        </w:tc>
        <w:tc>
          <w:tcPr>
            <w:tcW w:type="dxa" w:w="204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Наименование и назначение</w:t>
            </w:r>
          </w:p>
        </w:tc>
        <w:tc>
          <w:tcPr>
            <w:tcW w:type="dxa" w:w="130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Форма представления</w:t>
            </w:r>
          </w:p>
        </w:tc>
        <w:tc>
          <w:tcPr>
            <w:tcW w:type="dxa" w:w="141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Обработчик</w:t>
            </w:r>
          </w:p>
        </w:tc>
        <w:tc>
          <w:tcPr>
            <w:tcW w:type="dxa" w:w="141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Корреспондент</w:t>
            </w:r>
          </w:p>
        </w:tc>
        <w:tc>
          <w:tcPr>
            <w:tcW w:type="dxa" w:w="85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Трудозатраты</w:t>
            </w:r>
          </w:p>
        </w:tc>
        <w:tc>
          <w:tcPr>
            <w:tcW w:type="dxa" w:w="136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Периодичность, регламент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Карточка опубликованного объекта каталога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Запись каталога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Контент-менеджер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Слушатель; ML-специалист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0,25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Для каждого релиза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Проверенный журнал взаимодействий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Таблица событий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Аналитик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ML-специалист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Непрерывно; пакетно по расписанию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Витрина данных и рассчитанные признаки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Таблица/вектор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ML-специалист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Аналитик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 расписанию и перед обучением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Долгосрочный профиль предпочтений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Вектор признаков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ML-специалист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Аналитик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 каждом запросе; пакетное обновление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Контекст текущей сессии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Последовательность/вектор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ML-специалист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Аналитик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 каждом запросе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Кандидаты и оценки релевантности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Ранжированный список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ML-специалист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Контент-менеджер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 каждом запросе рекомендации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Отфильтрованная персональная очередь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Список композиций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ML-специалист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Слушатель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 каждом запросе рекомендации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Метрики качества и результат эксперимента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Таблица и отчёт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Аналитик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ML-специалист; администратор платформы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1,0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Ежедневно и по завершении эксперимента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11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Карточка обращения или инцидента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Электронная карточка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Специалист поддержки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 платформы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0,25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 событию</w:t>
            </w:r>
          </w:p>
        </w:tc>
      </w:tr>
    </w:tbl>
    <w:p/>
    <w:p>
      <w:pPr>
        <w:keepNext/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Таблица 6 – Реестр выходных информационных потоков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</w:trPr>
        <w:tc>
          <w:tcPr>
            <w:tcW w:type="dxa" w:w="45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№</w:t>
            </w:r>
          </w:p>
        </w:tc>
        <w:tc>
          <w:tcPr>
            <w:tcW w:type="dxa" w:w="204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Наименование и назначение</w:t>
            </w:r>
          </w:p>
        </w:tc>
        <w:tc>
          <w:tcPr>
            <w:tcW w:type="dxa" w:w="130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Форма представления</w:t>
            </w:r>
          </w:p>
        </w:tc>
        <w:tc>
          <w:tcPr>
            <w:tcW w:type="dxa" w:w="141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Обработчик</w:t>
            </w:r>
          </w:p>
        </w:tc>
        <w:tc>
          <w:tcPr>
            <w:tcW w:type="dxa" w:w="141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Корреспондент</w:t>
            </w:r>
          </w:p>
        </w:tc>
        <w:tc>
          <w:tcPr>
            <w:tcW w:type="dxa" w:w="85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Трудозатраты</w:t>
            </w:r>
          </w:p>
        </w:tc>
        <w:tc>
          <w:tcPr>
            <w:tcW w:type="dxa" w:w="136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Периодичность, регламент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Подтверждение регистрации и прав доступа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Электронное уведомление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 платформы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Слушатель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0,02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 регистрации и изменении доступа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Опубликованный каталог и сведения о доступности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Электронный каталог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Контент-менеджер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Слушатель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0,25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 публикации и изменении релиза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Результат поиска и очередь воспроизведения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Список композиций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 платформы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Слушатель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 требованию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Адаптивная персональная подборка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Ранжированный список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ML-специалист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Слушатель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 каждом запросе рекомендации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Обновлённые коллекция и настройки профиля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Запись профиля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 платформы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Слушатель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После действия пользователя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Ответ по обращению пользователя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Электронное сообщение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Специалист поддержки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Слушатель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0,5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 обращению; в установленный срок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Отчёт об использовании контента и ограничениях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Электронный отчёт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по работе с правообладателями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Представитель правообладателя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1,0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Ежемесячно или по договору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Отчёт о качестве платформы и рекомендаций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Электронный отчёт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Аналитик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 платформы; ML-специалист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1,0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Ежедневно и по завершении эксперимента</w:t>
            </w:r>
          </w:p>
        </w:tc>
      </w:tr>
      <w:tr>
        <w:trPr>
          <w:cantSplit/>
        </w:trPr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Решение о публикации или откате модели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Электронный документ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ML-специалист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 платформы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0,5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После проверки версии</w:t>
            </w:r>
          </w:p>
        </w:tc>
      </w:tr>
    </w:tbl>
    <w:p/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2.7 Правила обработки информации и ограничения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выполнении бизнес-процесса действуют следующие правила обработки информации.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Контент публикуется только при наличии подтверждённых прав, обязательных метаданных и допустимого срока, территории и возрастной категории.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Права пользователя на прослушивание определяются состоянием учётной записи, условиями подписки и лицензионными ограничениями конкретного объекта.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События, не прошедшие проверку схемы, времени и идентификаторов, не используются для обновления профиля до исправления или исключения.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Долгосрочный профиль изменяется плавно и не должен полностью переопределяться единичным действием; краткосрочный профиль получает больший вес при наличии последовательного сигнала текущей сессии.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При отсутствии истории применяется стратегия холодного старта на основе выбранных интересов, контекста, редакционных подборок и популярности с контролем разнообразия.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Из выдачи исключается недоступный, заблокированный и явно отклонённый пользователем контент; соблюдаются лицензионные, региональные и возрастные ограничения.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Окончательный список ограничивает повторы одного исполнителя и содержит минимально допустимое разнообразие жанров или кластеров звучания, если это не противоречит запросу пользователя.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Новая версия модели публикуется только после воспроизводимой офлайн-проверки и контролируемого онлайн-эксперимента; должна быть предусмотрена возможность отката.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Обращения слушателей регистрируются, классифицируются по приоритету и закрываются только после фиксации результата обработки.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Персональные данные и идентификаторы обрабатываются в объёме, необходимом для заявленной цели, с разграничением доступа и регистрацией операций.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2.8 Нормативно-справочная документация, регламентирующая бизнес-процесс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проектируемого процесса применимы следующие нормативные и внутренние документы: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Федеральный закон от 27.07.2006 № 152-ФЗ «О персональных данных» – требования к обработке и защите сведений о пользователях.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Федеральный закон от 27.07.2006 № 149-ФЗ «Об информации, информационных технологиях и о защите информации» – общие требования к обращению с информацией и её защите.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Гражданский кодекс Российской Федерации, часть четвёртая – регулирование исключительных и смежных прав на музыкальные произведения и фонограммы.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Закон Российской Федерации от 07.02.1992 № 2300-1 «О защите прав потребителей» – требования к предоставлению платной цифровой услуги и информированию пользователя.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ГОСТ Р ИСО/МЭК 25010-2015 – модель характеристик качества программных систем и программных продуктов.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Пользовательское соглашение, политика конфиденциальности, лицензионные соглашения с правообладателями и правила возрастной маркировки контента.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Внутренние регламенты: словарь событий, схема каталога, методика расчёта метрик, порядок A/B-тестирования, публикации и отката моделей, политика хранения данных.</w:t>
      </w:r>
    </w:p>
    <w:p>
      <w:pPr>
        <w:keepNext/>
        <w:spacing w:line="360" w:lineRule="auto" w:before="24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 Характеристика схемы решения задач в ручном режиме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3.1 Описание операций, выполняемых без применения специального программного обеспечения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Без специального программного обеспечения работа с правообладателями ведётся по электронной почте и в разрозненных таблицах. Менеджер вручную сверяет договоры, сроки и территории действия прав. Контент-менеджер получает аудиофайлы и карточки релизов, проверяет реквизиты, переносит метаданные в общий реестр, отмечает ограничения и вручную формирует редакционные подборки. Изменение условий требует повторной проверки каталога и исправления связанных списков.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Учёт пользователей, подписок и обращений ведётся в отдельных списках. Слушатель самостоятельно ищет композиции по названию, исполнителю или жанру, использует собственные плейлисты и выбирает одинаковые для крупных сегментов редакционные подборки. Специалист поддержки проверяет профиль и историю обращений по нескольким источникам, после чего вручную передаёт проблему администратору или контент-менеджеру.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Сведения о прослушиваниях периодически выгружаются аналитиком в виде таблиц. Популярность, доля пропусков и другие показатели рассчитываются по крупным сегментам. На их основе ML-специалист и редактор задают простые правила добавления новинок и ограничения повторов. Долгосрочные и краткосрочные предпочтения рассматриваются раздельно либо контекст текущей сессии не учитывается. Проверка новой подборки выполняется на небольшой выборке или экспертно.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История решений, версии данных, права, параметры рекомендаций и обращения хранятся в разных файлах. Поэтому сложно установить, почему композиция была доступна, включена в подборку или исключена из неё, а также воспроизвести результат эксперимента. При росте каталога и аудитории трудозатраты увеличиваются пропорционально числу релизов, пользователей, сегментов и подборок.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3.2 Недостатки существующей схемы решения задач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Анализ ручной схемы позволяет выделить следующие недостатки.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Разрозненность сведений о правах, каталоге, пользователях, обращениях и показателях качества, приводящая к повторному вводу и противоречиям.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Риск показа контента за пределами срока, территории или условий лицензии из-за ручной проверки большого числа объектов.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Низкая персонализация: редакционная подборка и правила для сегмента не различают слушателей с разной историей внутри одной группы.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Отсутствие адаптации в реальном времени: смена намерения в текущей сессии учитывается только после очередной выгрузки и анализа.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Слабая масштабируемость: невозможно вручную поддерживать большой каталог, обрабатывать все действия пользователей и регулярно обновлять тысячи подборок.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Медленная обработка обращений из-за отсутствия единой карточки пользователя, контента и инцидента.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Субъективность и невоспроизводимость решений по публикации, рекомендациям и экспериментам вследствие неполной фиксации версий данных и правил.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Популярностное смещение и низкое покрытие каталога при ручном отборе известных исполнителей.</w:t>
      </w:r>
    </w:p>
    <w:p>
      <w:pPr>
        <w:keepNext w:val="0"/>
        <w:spacing w:line="360" w:lineRule="auto" w:before="0" w:after="0"/>
        <w:ind w:left="567" w:hanging="34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– Запаздывающий контроль качества: ошибки данных, дрейф интересов и технические инциденты обнаруживаются после накопления негативных событий.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3.3 Обоснование необходимости создания специального программного обеспечения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Указанные недостатки обусловлены объёмом каталога, количеством участников, высокой частотой событий и изменчивостью пользовательского намерения. Организационными мерами невозможно одновременно контролировать лицензионные ограничения, обслуживать пользователей, поддерживать каталог и индивидуально оценивать большое число музыкальных кандидатов за время интерактивного запроса. Поэтому требуется единая программная система стриминговой платформы.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Система должна объединить реестр правообладателей и лицензий, каталог, профили и подписки, поиск и воспроизведение, сбор событий, службу поддержки, аналитическую отчётность и управление качеством. Такое объединение обеспечивает единые идентификаторы, прослеживаемость действий, автоматическую проверку доступности контента и согласованное взаимодействие сотрудников.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Рекомендательная ML-модель является ключевым компонентом персонализации, но работает внутри более широкого процесса. Она должна строить устойчивое представление интересов по накопленной истории и краткосрочное представление по действиям текущей сессии. Адаптивное сочетание этих оценок позволит сохранить долгосрочный профиль при случайном действии и быстро реагировать на выраженную смену контекста. Фильтрация должна учитывать права, возрастные и региональные ограничения, повторы и разнообразие.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Создание ПО должно сократить время публикации релиза и обработки обращения, снизить риск нарушения лицензионных условий, повысить доступность платформы и релевантность рекомендаций, расширить покрытие каталога и сделать эксперименты воспроизводимыми. Решения о правах, редакционной политике, целевых метриках и публикации версии модели сохраняются за ответственными специалистами.</w:t>
      </w:r>
    </w:p>
    <w:p>
      <w:pPr>
        <w:keepNext/>
        <w:spacing w:line="360" w:lineRule="auto" w:before="240" w:after="8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Выводы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ходе лабораторной работы проведён системный анализ музыкальной стриминговой платформы с подсистемой адаптивных рекомендаций. Определены назначение, структура, человеческие роли и показатели эффективности объекта информатизации; построена его структурная схема.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Выделен бизнес-процесс «Предоставление персонализированного музыкального контента на стриминговой платформе». Он декомпозирован на девять подпроцессов и двадцать семь операций, охватывающих пользователей, правообладателей, каталог, прослушивание, данные, моделирование предпочтений, рекомендации, качество, поддержку и администрирование. Построены модель «Чёрный ящик» с человеческими механизмами и UML-модель вариантов использования только с людьми в качестве акторов.</w:t>
      </w:r>
    </w:p>
    <w:p>
      <w:pPr>
        <w:keepNext w:val="0"/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Сформированы реестры входных, внутренних и выходных информационных потоков, определены правила обработки и нормативно-справочная документация. Анализ ручной схемы показал разрозненность данных, риск ошибок в правах и каталоге, низкую персонализацию, отсутствие оперативной адаптации и слабую масштабируемость. Обоснована необходимость единой программной платформы, в которой рекомендательная ML-модель адаптивно сочетает долгосрочный профиль и контекст текущей сессии.</w:t>
      </w:r>
    </w:p>
    <w:sectPr w:rsidR="00665B36" w:rsidRPr="00665B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6756" w:rsidRDefault="00966756">
      <w:pPr>
        <w:spacing w:line="240" w:lineRule="auto"/>
      </w:pPr>
      <w:r>
        <w:separator/>
      </w:r>
    </w:p>
  </w:endnote>
  <w:endnote w:type="continuationSeparator" w:id="0">
    <w:p w:rsidR="00966756" w:rsidRDefault="009667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erif CJK SC">
    <w:charset w:val="80"/>
    <w:family w:val="roman"/>
    <w:pitch w:val="variable"/>
    <w:sig w:usb0="20000207" w:usb1="090F0000" w:usb2="00000010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"/>
      </w:rPr>
      <w:id w:val="-2129846978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:rsidR="00A96874" w:rsidRDefault="00A96874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5</w:t>
        </w:r>
        <w:r>
          <w:rPr>
            <w:rStyle w:val="af"/>
          </w:rPr>
          <w:fldChar w:fldCharType="end"/>
        </w:r>
      </w:p>
    </w:sdtContent>
  </w:sdt>
  <w:p w:rsidR="00A96874" w:rsidRDefault="00A96874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"/>
      </w:rPr>
      <w:id w:val="-1819487458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:rsidR="00A96874" w:rsidRDefault="00A96874">
        <w:pPr>
          <w:pStyle w:val="ad"/>
          <w:framePr w:wrap="none" w:vAnchor="text" w:hAnchor="margin" w:xAlign="center" w:y="1"/>
          <w:ind w:right="-678" w:firstLine="0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 w:rsidR="00C16D4D">
          <w:rPr>
            <w:rStyle w:val="af"/>
            <w:noProof/>
          </w:rPr>
          <w:t>16</w:t>
        </w:r>
        <w:r>
          <w:rPr>
            <w:rStyle w:val="af"/>
          </w:rPr>
          <w:fldChar w:fldCharType="end"/>
        </w:r>
      </w:p>
    </w:sdtContent>
  </w:sdt>
  <w:p w:rsidR="00A96874" w:rsidRDefault="00A96874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6756" w:rsidRDefault="00966756">
      <w:pPr>
        <w:spacing w:line="240" w:lineRule="auto"/>
      </w:pPr>
      <w:r>
        <w:separator/>
      </w:r>
    </w:p>
  </w:footnote>
  <w:footnote w:type="continuationSeparator" w:id="0">
    <w:p w:rsidR="00966756" w:rsidRDefault="009667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944EE"/>
    <w:multiLevelType w:val="hybridMultilevel"/>
    <w:tmpl w:val="42AAF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34768"/>
    <w:multiLevelType w:val="hybridMultilevel"/>
    <w:tmpl w:val="54722060"/>
    <w:lvl w:ilvl="0" w:tplc="7BFCDCBA">
      <w:start w:val="1"/>
      <w:numFmt w:val="decimal"/>
      <w:lvlText w:val="%1."/>
      <w:lvlJc w:val="left"/>
      <w:pPr>
        <w:ind w:left="1134" w:hanging="284"/>
      </w:pPr>
      <w:rPr>
        <w:rFonts w:ascii="Times New Roman" w:eastAsia="Times New Roman" w:hAnsi="Times New Roman" w:cs="Times New Roman"/>
        <w:sz w:val="28"/>
        <w:szCs w:val="28"/>
      </w:rPr>
    </w:lvl>
    <w:lvl w:ilvl="1" w:tplc="67A82ADE">
      <w:numFmt w:val="decimal"/>
      <w:lvlText w:val=""/>
      <w:lvlJc w:val="left"/>
    </w:lvl>
    <w:lvl w:ilvl="2" w:tplc="00948BF4">
      <w:numFmt w:val="decimal"/>
      <w:lvlText w:val=""/>
      <w:lvlJc w:val="left"/>
    </w:lvl>
    <w:lvl w:ilvl="3" w:tplc="A53A2F14">
      <w:numFmt w:val="decimal"/>
      <w:lvlText w:val=""/>
      <w:lvlJc w:val="left"/>
    </w:lvl>
    <w:lvl w:ilvl="4" w:tplc="931AF286">
      <w:numFmt w:val="decimal"/>
      <w:lvlText w:val=""/>
      <w:lvlJc w:val="left"/>
    </w:lvl>
    <w:lvl w:ilvl="5" w:tplc="9C2A6E48">
      <w:numFmt w:val="decimal"/>
      <w:lvlText w:val=""/>
      <w:lvlJc w:val="left"/>
    </w:lvl>
    <w:lvl w:ilvl="6" w:tplc="3DB4A404">
      <w:numFmt w:val="decimal"/>
      <w:lvlText w:val=""/>
      <w:lvlJc w:val="left"/>
    </w:lvl>
    <w:lvl w:ilvl="7" w:tplc="C82E080C">
      <w:numFmt w:val="decimal"/>
      <w:lvlText w:val=""/>
      <w:lvlJc w:val="left"/>
    </w:lvl>
    <w:lvl w:ilvl="8" w:tplc="19505E4A">
      <w:numFmt w:val="decimal"/>
      <w:lvlText w:val=""/>
      <w:lvlJc w:val="left"/>
    </w:lvl>
  </w:abstractNum>
  <w:abstractNum w:abstractNumId="2" w15:restartNumberingAfterBreak="0">
    <w:nsid w:val="2D014769"/>
    <w:multiLevelType w:val="hybridMultilevel"/>
    <w:tmpl w:val="A54A9980"/>
    <w:lvl w:ilvl="0" w:tplc="52888BF0">
      <w:start w:val="1"/>
      <w:numFmt w:val="decimal"/>
      <w:lvlText w:val="%1."/>
      <w:lvlJc w:val="left"/>
      <w:pPr>
        <w:ind w:left="1134" w:hanging="284"/>
      </w:pPr>
      <w:rPr>
        <w:rFonts w:ascii="Times New Roman" w:eastAsia="Times New Roman" w:hAnsi="Times New Roman" w:cs="Times New Roman"/>
        <w:sz w:val="28"/>
        <w:szCs w:val="28"/>
      </w:rPr>
    </w:lvl>
    <w:lvl w:ilvl="1" w:tplc="218ECEA2">
      <w:numFmt w:val="decimal"/>
      <w:lvlText w:val=""/>
      <w:lvlJc w:val="left"/>
      <w:pPr>
        <w:ind w:left="0" w:firstLine="0"/>
      </w:pPr>
    </w:lvl>
    <w:lvl w:ilvl="2" w:tplc="ABEADC64">
      <w:numFmt w:val="decimal"/>
      <w:lvlText w:val=""/>
      <w:lvlJc w:val="left"/>
      <w:pPr>
        <w:ind w:left="0" w:firstLine="0"/>
      </w:pPr>
    </w:lvl>
    <w:lvl w:ilvl="3" w:tplc="8B3C06FC">
      <w:numFmt w:val="decimal"/>
      <w:lvlText w:val=""/>
      <w:lvlJc w:val="left"/>
      <w:pPr>
        <w:ind w:left="0" w:firstLine="0"/>
      </w:pPr>
    </w:lvl>
    <w:lvl w:ilvl="4" w:tplc="6D76D68C">
      <w:numFmt w:val="decimal"/>
      <w:lvlText w:val=""/>
      <w:lvlJc w:val="left"/>
      <w:pPr>
        <w:ind w:left="0" w:firstLine="0"/>
      </w:pPr>
    </w:lvl>
    <w:lvl w:ilvl="5" w:tplc="754A1B2C">
      <w:numFmt w:val="decimal"/>
      <w:lvlText w:val=""/>
      <w:lvlJc w:val="left"/>
      <w:pPr>
        <w:ind w:left="0" w:firstLine="0"/>
      </w:pPr>
    </w:lvl>
    <w:lvl w:ilvl="6" w:tplc="C284E64C">
      <w:numFmt w:val="decimal"/>
      <w:lvlText w:val=""/>
      <w:lvlJc w:val="left"/>
      <w:pPr>
        <w:ind w:left="0" w:firstLine="0"/>
      </w:pPr>
    </w:lvl>
    <w:lvl w:ilvl="7" w:tplc="7586F93A">
      <w:numFmt w:val="decimal"/>
      <w:lvlText w:val=""/>
      <w:lvlJc w:val="left"/>
      <w:pPr>
        <w:ind w:left="0" w:firstLine="0"/>
      </w:pPr>
    </w:lvl>
    <w:lvl w:ilvl="8" w:tplc="D33C667E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6A854254"/>
    <w:multiLevelType w:val="hybridMultilevel"/>
    <w:tmpl w:val="BDF87FBE"/>
    <w:lvl w:ilvl="0" w:tplc="3572CFB0">
      <w:start w:val="1"/>
      <w:numFmt w:val="decimal"/>
      <w:lvlText w:val="%1."/>
      <w:lvlJc w:val="left"/>
      <w:pPr>
        <w:ind w:left="1134" w:hanging="284"/>
      </w:pPr>
      <w:rPr>
        <w:rFonts w:ascii="Times New Roman" w:eastAsia="Times New Roman" w:hAnsi="Times New Roman" w:cs="Times New Roman"/>
        <w:sz w:val="28"/>
        <w:szCs w:val="28"/>
      </w:rPr>
    </w:lvl>
    <w:lvl w:ilvl="1" w:tplc="0DF4A2A2">
      <w:numFmt w:val="decimal"/>
      <w:lvlText w:val=""/>
      <w:lvlJc w:val="left"/>
      <w:pPr>
        <w:ind w:left="0" w:firstLine="0"/>
      </w:pPr>
    </w:lvl>
    <w:lvl w:ilvl="2" w:tplc="9FB2ED36">
      <w:numFmt w:val="decimal"/>
      <w:lvlText w:val=""/>
      <w:lvlJc w:val="left"/>
      <w:pPr>
        <w:ind w:left="0" w:firstLine="0"/>
      </w:pPr>
    </w:lvl>
    <w:lvl w:ilvl="3" w:tplc="BE08DC0E">
      <w:numFmt w:val="decimal"/>
      <w:lvlText w:val=""/>
      <w:lvlJc w:val="left"/>
      <w:pPr>
        <w:ind w:left="0" w:firstLine="0"/>
      </w:pPr>
    </w:lvl>
    <w:lvl w:ilvl="4" w:tplc="8CA2993E">
      <w:numFmt w:val="decimal"/>
      <w:lvlText w:val=""/>
      <w:lvlJc w:val="left"/>
      <w:pPr>
        <w:ind w:left="0" w:firstLine="0"/>
      </w:pPr>
    </w:lvl>
    <w:lvl w:ilvl="5" w:tplc="524EFFA0">
      <w:numFmt w:val="decimal"/>
      <w:lvlText w:val=""/>
      <w:lvlJc w:val="left"/>
      <w:pPr>
        <w:ind w:left="0" w:firstLine="0"/>
      </w:pPr>
    </w:lvl>
    <w:lvl w:ilvl="6" w:tplc="51DE2714">
      <w:numFmt w:val="decimal"/>
      <w:lvlText w:val=""/>
      <w:lvlJc w:val="left"/>
      <w:pPr>
        <w:ind w:left="0" w:firstLine="0"/>
      </w:pPr>
    </w:lvl>
    <w:lvl w:ilvl="7" w:tplc="6E1CA236">
      <w:numFmt w:val="decimal"/>
      <w:lvlText w:val=""/>
      <w:lvlJc w:val="left"/>
      <w:pPr>
        <w:ind w:left="0" w:firstLine="0"/>
      </w:pPr>
    </w:lvl>
    <w:lvl w:ilvl="8" w:tplc="8288FCD2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FF43002"/>
    <w:multiLevelType w:val="hybridMultilevel"/>
    <w:tmpl w:val="F0EC33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B50F5E"/>
    <w:multiLevelType w:val="hybridMultilevel"/>
    <w:tmpl w:val="8272D0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609AB"/>
    <w:multiLevelType w:val="hybridMultilevel"/>
    <w:tmpl w:val="4C96764E"/>
    <w:lvl w:ilvl="0" w:tplc="329E2DBE">
      <w:start w:val="1"/>
      <w:numFmt w:val="decimal"/>
      <w:lvlText w:val="%1."/>
      <w:lvlJc w:val="left"/>
      <w:pPr>
        <w:ind w:left="1134" w:hanging="284"/>
      </w:pPr>
      <w:rPr>
        <w:rFonts w:ascii="Times New Roman" w:eastAsia="Times New Roman" w:hAnsi="Times New Roman" w:cs="Times New Roman"/>
        <w:sz w:val="28"/>
        <w:szCs w:val="28"/>
      </w:rPr>
    </w:lvl>
    <w:lvl w:ilvl="1" w:tplc="3BF4539A">
      <w:numFmt w:val="decimal"/>
      <w:lvlText w:val=""/>
      <w:lvlJc w:val="left"/>
      <w:pPr>
        <w:ind w:left="0" w:firstLine="0"/>
      </w:pPr>
    </w:lvl>
    <w:lvl w:ilvl="2" w:tplc="B9045A12">
      <w:numFmt w:val="decimal"/>
      <w:lvlText w:val=""/>
      <w:lvlJc w:val="left"/>
      <w:pPr>
        <w:ind w:left="0" w:firstLine="0"/>
      </w:pPr>
    </w:lvl>
    <w:lvl w:ilvl="3" w:tplc="D990F214">
      <w:numFmt w:val="decimal"/>
      <w:lvlText w:val=""/>
      <w:lvlJc w:val="left"/>
      <w:pPr>
        <w:ind w:left="0" w:firstLine="0"/>
      </w:pPr>
    </w:lvl>
    <w:lvl w:ilvl="4" w:tplc="85EE7876">
      <w:numFmt w:val="decimal"/>
      <w:lvlText w:val=""/>
      <w:lvlJc w:val="left"/>
      <w:pPr>
        <w:ind w:left="0" w:firstLine="0"/>
      </w:pPr>
    </w:lvl>
    <w:lvl w:ilvl="5" w:tplc="AEF69C60">
      <w:numFmt w:val="decimal"/>
      <w:lvlText w:val=""/>
      <w:lvlJc w:val="left"/>
      <w:pPr>
        <w:ind w:left="0" w:firstLine="0"/>
      </w:pPr>
    </w:lvl>
    <w:lvl w:ilvl="6" w:tplc="7CE260DC">
      <w:numFmt w:val="decimal"/>
      <w:lvlText w:val=""/>
      <w:lvlJc w:val="left"/>
      <w:pPr>
        <w:ind w:left="0" w:firstLine="0"/>
      </w:pPr>
    </w:lvl>
    <w:lvl w:ilvl="7" w:tplc="729641FA">
      <w:numFmt w:val="decimal"/>
      <w:lvlText w:val=""/>
      <w:lvlJc w:val="left"/>
      <w:pPr>
        <w:ind w:left="0" w:firstLine="0"/>
      </w:pPr>
    </w:lvl>
    <w:lvl w:ilvl="8" w:tplc="8A60EE68">
      <w:numFmt w:val="decimal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1"/>
    <w:lvlOverride w:ilvl="0">
      <w:startOverride w:val="1"/>
    </w:lvlOverride>
  </w:num>
  <w:num w:numId="3">
    <w:abstractNumId w:val="5"/>
  </w:num>
  <w:num w:numId="4">
    <w:abstractNumId w:val="0"/>
  </w:num>
  <w:num w:numId="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874"/>
    <w:rsid w:val="00010740"/>
    <w:rsid w:val="000179E1"/>
    <w:rsid w:val="00172B0F"/>
    <w:rsid w:val="002F5E4C"/>
    <w:rsid w:val="003758EF"/>
    <w:rsid w:val="00386103"/>
    <w:rsid w:val="003F0C38"/>
    <w:rsid w:val="003F62FA"/>
    <w:rsid w:val="00407E25"/>
    <w:rsid w:val="0049010F"/>
    <w:rsid w:val="00510877"/>
    <w:rsid w:val="00584BD3"/>
    <w:rsid w:val="005A1833"/>
    <w:rsid w:val="005E3360"/>
    <w:rsid w:val="006277F1"/>
    <w:rsid w:val="006500F4"/>
    <w:rsid w:val="00665B36"/>
    <w:rsid w:val="00755938"/>
    <w:rsid w:val="008765D9"/>
    <w:rsid w:val="00966756"/>
    <w:rsid w:val="0096718B"/>
    <w:rsid w:val="00973649"/>
    <w:rsid w:val="00A660B3"/>
    <w:rsid w:val="00A7709F"/>
    <w:rsid w:val="00A9305E"/>
    <w:rsid w:val="00A96874"/>
    <w:rsid w:val="00B06D97"/>
    <w:rsid w:val="00B12B5D"/>
    <w:rsid w:val="00B30DE1"/>
    <w:rsid w:val="00B5731E"/>
    <w:rsid w:val="00B9698F"/>
    <w:rsid w:val="00BE2833"/>
    <w:rsid w:val="00BF70AD"/>
    <w:rsid w:val="00C1468D"/>
    <w:rsid w:val="00C16D4D"/>
    <w:rsid w:val="00CE5B13"/>
    <w:rsid w:val="00D14378"/>
    <w:rsid w:val="00D23A98"/>
    <w:rsid w:val="00D52468"/>
    <w:rsid w:val="00E4709B"/>
    <w:rsid w:val="00E87095"/>
    <w:rsid w:val="00E9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F72A5"/>
  <w15:chartTrackingRefBased/>
  <w15:docId w15:val="{B0DE09DC-7EB2-43F8-AD34-CBDB6ED0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6874"/>
    <w:pPr>
      <w:spacing w:after="0" w:line="360" w:lineRule="auto"/>
      <w:ind w:firstLine="850"/>
      <w:contextualSpacing/>
      <w:jc w:val="both"/>
    </w:pPr>
    <w:rPr>
      <w:rFonts w:ascii="Times New Roman" w:eastAsia="Times New Roman" w:hAnsi="Times New Roman" w:cs="Times New Roman (Основной текст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A96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8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8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8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8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6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6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6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68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68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68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68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68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68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6874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6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87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6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6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6874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A96874"/>
    <w:pPr>
      <w:ind w:left="720"/>
    </w:pPr>
  </w:style>
  <w:style w:type="character" w:styleId="a8">
    <w:name w:val="Intense Emphasis"/>
    <w:basedOn w:val="a0"/>
    <w:uiPriority w:val="21"/>
    <w:qFormat/>
    <w:rsid w:val="00A968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6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68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6874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rsid w:val="00A9687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u w:color="000000"/>
      <w:bdr w:val="nil"/>
      <w:lang w:eastAsia="ru-RU"/>
      <w14:ligatures w14:val="none"/>
    </w:rPr>
  </w:style>
  <w:style w:type="paragraph" w:styleId="ad">
    <w:name w:val="footer"/>
    <w:basedOn w:val="a"/>
    <w:link w:val="ae"/>
    <w:uiPriority w:val="99"/>
    <w:unhideWhenUsed/>
    <w:rsid w:val="00A9687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96874"/>
    <w:rPr>
      <w:rFonts w:ascii="Times New Roman" w:hAnsi="Times New Roman" w:cs="Times New Roman (Основной текст"/>
      <w:color w:val="000000" w:themeColor="text1"/>
      <w:sz w:val="28"/>
    </w:rPr>
  </w:style>
  <w:style w:type="character" w:styleId="af">
    <w:name w:val="page number"/>
    <w:basedOn w:val="a0"/>
    <w:uiPriority w:val="99"/>
    <w:semiHidden/>
    <w:unhideWhenUsed/>
    <w:rsid w:val="00A96874"/>
  </w:style>
  <w:style w:type="table" w:styleId="af0">
    <w:name w:val="Table Grid"/>
    <w:basedOn w:val="a1"/>
    <w:uiPriority w:val="39"/>
    <w:rsid w:val="005A1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16</Pages>
  <Words>3357</Words>
  <Characters>19137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 Анализ предметной области</vt:lpstr>
    </vt:vector>
  </TitlesOfParts>
  <Company>Grizli777</Company>
  <LinksUpToDate>false</LinksUpToDate>
  <CharactersWithSpaces>22450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Анализ предметной области</dc:title>
  <dc:subject>Адаптивная рекомендация музыкального контента</dc:subject>
  <dc:creator>Владимир Хачатурян</dc:creator>
  <cp:keywords/>
  <dc:description/>
  <cp:lastModifiedBy>Владимир Хачатурян</cp:lastModifiedBy>
  <cp:revision>5</cp:revision>
  <dcterms:created xsi:type="dcterms:W3CDTF">2026-09-13T20:18:00Z</dcterms:created>
  <dcterms:modified xsi:type="dcterms:W3CDTF">2026-09-21T13:19:00Z</dcterms:modified>
</cp:coreProperties>
</file>