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b82f6"/>
          <w:sz w:val="16"/>
          <w:szCs w:val="16"/>
          <w:rtl w:val="0"/>
        </w:rPr>
        <w:t xml:space="preserve">MINUTES OF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40"/>
          <w:szCs w:val="40"/>
          <w:rtl w:val="0"/>
        </w:rPr>
        <w:t xml:space="preserve">Sentosa Health Insurance — PoC Review &amp; Commercial Discussion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Thursday, April 24, 2026  |  10:00 – 10:40 AM SGT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Google Meet (Remote) — Recorded via Grain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Attendees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 (Account Manager, Sembuh AI), Yoni Hartono (Head of Claims, Sentosa Health Insurance)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Meeting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PoC Review (3-week checkpoint) + Commercial Negotiation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Sentosa Health Insurance — STP  |  Stage: Waiting Confirmation  |  Value: $30,000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Signal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59669"/>
                <w:sz w:val="20"/>
                <w:szCs w:val="20"/>
                <w:rtl w:val="0"/>
              </w:rPr>
              <w:t xml:space="preserve">POSITIVE</w:t>
            </w: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 — Client wants to proceed. Requesting 10% discount before formal agreement. Moving to commercial proposal.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The 3-week PoC review with Sentosa Health Insurance was productive and led directly into commercial discussion. The OCR solution performs well on typed claim forms with near-zero errors. Handwritten form accuracy is at 70–75% and needs to reach 85–90% — Sentosa will provide 200–300 sample forms for fine-tuning.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A workflow adjustment is required: adding an eligibility pre-check step before claims reach the assessor queue. This is a configuration change, not a rebuild.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4155"/>
          <w:sz w:val="22"/>
          <w:szCs w:val="22"/>
          <w:rtl w:val="0"/>
        </w:rPr>
        <w:t xml:space="preserve">Key commercial development: </w:t>
      </w: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Yoni Hartono confirmed Sentosa wants to move forward and formally requested a 10% discount on the proposed commercial terms, citing the scope of implementation across their full claims operation. He needs an updated quotation and a revised proposal with ROI projections to present to the VP of Operations for budget sign-off.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Key Discussion 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1. PoC OCR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Typed claim forms: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Near-perfect accuracy. Client team is “generally positive” and found results better than expected.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Handwritten claim forms: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70–75% accuracy currently. Target for go-live is 85–90%.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Key issue: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Diagnosis code field on handwritten forms is frequently misread, affecting auto-adjudication downstream.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Solution: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Fine-tune the model on Sentosa’s specific claim form layout using 200–300 sample forms. Client agreed to provide within 1–2 weeks.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2. Workflow Gap Identified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Current PoC flow: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OCR extraction → directly to review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Sentosa’s actual flow: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OCR extraction → eligibility pre-check (admin) → assessor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Gap: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PoC skips the eligibility verification step, breaking adoption for the admin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Resolution: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Add eligibility pre-check as intermediate step. Confirmed as configuration change — no rebuild needed.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3. Incomplete Documentation as Pain Point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Sentosa spends significant time on back-and-forth with hospitals/clinics over incomplete claim submissions.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OCR + validation rules catching missing signatures, diagnosis codes, and supporting documents at intake would directly reduce the 11% rejection rate (40% from incomplete docs).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Client sees this as a high-value feature for adoption justification.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4. Commercial Negotiation — 10% Discount 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Client intent: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Yoni confirmed Sentosa wants to move forward with Sembuh AI. The claims team and VP of Operations have reviewed the PoC results internally and are supportive.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Discount request: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Yoni formally requested a 10% discount on the proposed commercial terms. Reason: the scope covers their full claims operation (62,000 members, 4,200 claims/month) and their procurement team requires a discount for agreements of this size.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What Sentosa needs: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(1) Updated quotation reflecting the 10% discount. (2) Revised proposal document with implementation timeline and ROI projections. Both needed for the VP of Operations to approve the budget.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Timeline: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Yoni asked for the updated offer “at your earliest convenience.” They are targeting end of April for everything signed.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Sembuh response: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Indi acknowledged the request and committed to sending the updated quotation and proposal within one week (by May 1). Will also include a 1-page executive summary for the VP.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Client Operational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Data shared by Yoni Hartono for commercial proposal scoping: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5760"/>
        <w:tblGridChange w:id="0">
          <w:tblGrid>
            <w:gridCol w:w="3600"/>
            <w:gridCol w:w="5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Monthly Claim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~4,200 claims/month (range: 3,800 – 4,500)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Active 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~62,000 (individual + group policies; ~70% corporate segment)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Annual Incurred Claims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IDR 18.5 billion (FY2025). Trending ~IDR 20 billion annualized based on Q1 2026.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Claim Rejection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~11% of total claims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Rejection Breakdown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Incomplete documentation: ~40%  |  Policy exclusions: ~30%  |  Other (late submission, inactive member): ~30%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Discount Requested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10% on all commercial terms (per procurement requirement)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Target Close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End of April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Action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3200"/>
        <w:gridCol w:w="2200"/>
        <w:gridCol w:w="1560"/>
        <w:gridCol w:w="1900"/>
        <w:tblGridChange w:id="0">
          <w:tblGrid>
            <w:gridCol w:w="500"/>
            <w:gridCol w:w="3200"/>
            <w:gridCol w:w="2200"/>
            <w:gridCol w:w="1560"/>
            <w:gridCol w:w="1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Action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Deadline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Send updated quotation with 10% discount applied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1,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Send revised proposal with ROI projections + implementation timeline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1,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Prepare 1-page executive summary (PoC results + ROI) for 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1,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Add eligibility pre-check step to PoC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Sembuh AI (Dev Team)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Before go-live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Provide 200–300 sample handwritten claim forms for OCR fine-tuning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Yoni Hartono (Sentosa)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7,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7706"/>
                <w:sz w:val="20"/>
                <w:szCs w:val="20"/>
                <w:rtl w:val="0"/>
              </w:rPr>
              <w:t xml:space="preserve">WAITING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Fine-tune handwriting OCR model on Sentosa form layout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Sembuh AI (Dev Team)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After #5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  <w:sz w:val="20"/>
                <w:szCs w:val="20"/>
                <w:rtl w:val="0"/>
              </w:rPr>
              <w:t xml:space="preserve">BLOCKED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Internal: get CEO approval for 10% discount (multi-module + PoC conversion + negotiated)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ASAP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URGENT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Stakeholder Notes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400"/>
        <w:gridCol w:w="4560"/>
        <w:tblGridChange w:id="0">
          <w:tblGrid>
            <w:gridCol w:w="2400"/>
            <w:gridCol w:w="24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Yoni Hartono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Head of Claims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Primary contact. Operationally supportive. Confirmed intent to proceed. Requested 10% discount on behalf of procurement. Will present proposal to VP.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VP of Operations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Budget Decision Maker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Has not been met directly. Reviewed PoC results internally (positive). Needs executive summary + ROI projection + updated quotation to approve budget.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Procurement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Commercial Gatekeeper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Driving the 10% discount request. Standard practice for agreements of this scope. Need formal quotation with discount reflected.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CRM Update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4155"/>
          <w:sz w:val="22"/>
          <w:szCs w:val="22"/>
          <w:rtl w:val="0"/>
        </w:rPr>
        <w:t xml:space="preserve">Update Monday.com (Deal: Sentosa Health Insurance — STP):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6160"/>
        <w:tblGridChange w:id="0">
          <w:tblGrid>
            <w:gridCol w:w="3200"/>
            <w:gridCol w:w="6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CRM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Update 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Last Contact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April 24,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Waiting Confirmation (no change)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Monthly Claim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4,200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Members Covered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62,000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Incurred (IDR jt)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18,500 (IDR 18.5 billion)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Next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Send updated quotation (10% discount) + revised proposal by May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Blocker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VP of Operations sign-off required. Awaiting sample forms for OCR tuning.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Client confirmed intent to proceed. 10% discount requested by procurement. Need CEO approval for discount (multi-module + PoC conversion + negotiated = 10%).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color="3b82f6" w:space="8" w:sz="4" w:val="single"/>
        </w:pBdr>
        <w:spacing w:before="300" w:lineRule="auto"/>
        <w:rPr/>
      </w:pPr>
      <w:r w:rsidDel="00000000" w:rsidR="00000000" w:rsidRPr="00000000">
        <w:rPr>
          <w:rFonts w:ascii="Arial" w:cs="Arial" w:eastAsia="Arial" w:hAnsi="Arial"/>
          <w:color w:val="64748b"/>
          <w:sz w:val="18"/>
          <w:szCs w:val="18"/>
          <w:rtl w:val="0"/>
        </w:rPr>
        <w:t xml:space="preserve">This document was auto-generated by the Sales Intelligence Engine from a Grain video transcript using Claude (Anthropic). </w:t>
      </w:r>
      <w:r w:rsidDel="00000000" w:rsidR="00000000" w:rsidRPr="00000000">
        <w:rPr>
          <w:rFonts w:ascii="Arial" w:cs="Arial" w:eastAsia="Arial" w:hAnsi="Arial"/>
          <w:b w:val="1"/>
          <w:bCs w:val="1"/>
          <w:color w:val="64748b"/>
          <w:sz w:val="18"/>
          <w:szCs w:val="18"/>
          <w:rtl w:val="0"/>
        </w:rPr>
        <w:t xml:space="preserve">Human review recommended before sharing externally.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pBdr>
        <w:top w:color="e2e8f0" w:space="4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Generated by Claude (Anthropic) via Sales Intelligence Engine  |  Page </w:t>
    </w:r>
    <w:r w:rsidDel="00000000" w:rsidR="00000000" w:rsidRPr="00000000"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pBdr>
        <w:bottom w:color="3b82f6" w:space="4" w:sz="4" w:val="single"/>
      </w:pBdr>
      <w:tabs>
        <w:tab w:val="right" w:leader="none" w:pos="9026"/>
      </w:tabs>
      <w:spacing w:after="200" w:lineRule="auto"/>
      <w:rPr/>
    </w:pPr>
    <w:r w:rsidDel="00000000" w:rsidR="00000000" w:rsidRPr="00000000">
      <w:rPr>
        <w:rFonts w:ascii="Arial" w:cs="Arial" w:eastAsia="Arial" w:hAnsi="Arial"/>
        <w:b w:val="1"/>
        <w:bCs w:val="1"/>
        <w:color w:val="3b82f6"/>
        <w:sz w:val="16"/>
        <w:szCs w:val="16"/>
        <w:rtl w:val="0"/>
      </w:rPr>
      <w:t xml:space="preserve">Sales Intelligence Engine</w:t>
    </w: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Auto-Generated MoM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f172a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f172a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