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b82f6"/>
          <w:sz w:val="16"/>
          <w:szCs w:val="16"/>
          <w:rtl w:val="0"/>
        </w:rPr>
        <w:t xml:space="preserve">MINUTES OF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40"/>
          <w:szCs w:val="40"/>
          <w:rtl w:val="0"/>
        </w:rPr>
        <w:t xml:space="preserve">Sentosa Health Insurance — PoC Review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Thursday, April 24, 2026  |  10:00 – 10:35 AM SGT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Google Meet (Remote) — Recorded via Grain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Attendees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 (Account Manager, Sembuh AI), </w:t>
            </w:r>
            <w:r w:rsidDel="00000000" w:rsidR="00000000" w:rsidRPr="00000000">
              <w:rPr>
                <w:color w:val="334155"/>
                <w:sz w:val="20"/>
                <w:szCs w:val="20"/>
                <w:rtl w:val="0"/>
              </w:rPr>
              <w:t xml:space="preserve">Yoni </w:t>
            </w: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 Hartono (Head of Claims, Sentosa Health Insurance)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Meeting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PoC Review — 3-week checkpoint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Deal Reference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Sentosa Health Insurance  |  Stage: Waiting Confirmation  |  Value: $30,000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Deal Signal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59669"/>
                <w:sz w:val="20"/>
                <w:szCs w:val="20"/>
                <w:rtl w:val="0"/>
              </w:rPr>
              <w:t xml:space="preserve">POSITIVE</w:t>
            </w: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 — Client receptive, PoC meets core needs with minor adjustments. Moving toward commercial proposal.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The 3-week PoC review with Sentosa Health Insurance was productive. The OCR solution is performing well on typed claim forms with near-zero errors. Handwritten form accuracy is at 70–75% and needs to reach 85–90% before production deployment — Sentosa will provide 200–300 sample forms for model fine-tuning.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A workflow adjustment is required: adding an eligibility pre-check step before claims reach the assessor queue. This is a configuration change, not a rebuild. The client’s VP of Operations is the budget decision maker and needs an executive summary with PoC results and projected ROI to approve the commercial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Key Discussion Points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4"/>
          <w:szCs w:val="24"/>
          <w:rtl w:val="0"/>
        </w:rPr>
        <w:t xml:space="preserve">1. PoC OCR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Typed claim forms: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Near-perfect accuracy. Client team is “generally positive” and found results better than expected.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Handwritten claim forms: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70–75% accuracy currently. Target for go-live is 85–90%.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Key issue: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Diagnosis code field on handwritten forms is frequently misread. This affects auto-adjudication downstream.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Solution: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Fine-tune the model on Sentosa’s specific claim form layout using 200–300 sample forms. Client agreed to provide these within 1–2 weeks.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4"/>
          <w:szCs w:val="24"/>
          <w:rtl w:val="0"/>
        </w:rPr>
        <w:t xml:space="preserve">2. Workflow Gap Identified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Current PoC flow: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OCR extraction → directly to review queue.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Sentosa’s actual flow: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OCR extraction → eligibility pre-check (admin) → assessor queue.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Gap: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The PoC skips the eligibility verification step. Without it, claims bypass the admin team’s pre-check, which breaks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Resolution: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Add eligibility pre-check as an intermediate step. Confirmed as a configuration change — no rebuild required. Sembuh dev team to implement.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4"/>
          <w:szCs w:val="24"/>
          <w:rtl w:val="0"/>
        </w:rPr>
        <w:t xml:space="preserve">3. Incomplete Documentation as Pain Point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Sentosa spends significant time on back-and-forth with hospitals/clinics over incomplete claim submissions.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Client sees high value in OCR + validation rules catching missing signatures, diagnosis codes, and supporting documents at intake — before entering the assessment queue.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4155"/>
          <w:sz w:val="22"/>
          <w:szCs w:val="22"/>
          <w:u w:val="none"/>
          <w:shd w:fill="auto" w:val="clear"/>
          <w:vertAlign w:val="baseline"/>
          <w:rtl w:val="0"/>
        </w:rPr>
        <w:t xml:space="preserve">This directly reduces the 11% rejection rate (40% of which comes from incomplete documentation).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Client Operational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The following data was shared by </w:t>
      </w:r>
      <w:r w:rsidDel="00000000" w:rsidR="00000000" w:rsidRPr="00000000">
        <w:rPr>
          <w:color w:val="334155"/>
          <w:rtl w:val="0"/>
        </w:rPr>
        <w:t xml:space="preserve">Yoni </w:t>
      </w:r>
      <w:r w:rsidDel="00000000" w:rsidR="00000000" w:rsidRPr="00000000">
        <w:rPr>
          <w:rFonts w:ascii="Arial" w:cs="Arial" w:eastAsia="Arial" w:hAnsi="Arial"/>
          <w:color w:val="334155"/>
          <w:sz w:val="22"/>
          <w:szCs w:val="22"/>
          <w:rtl w:val="0"/>
        </w:rPr>
        <w:t xml:space="preserve"> Hartono for commercial proposal scoping: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5760"/>
        <w:tblGridChange w:id="0">
          <w:tblGrid>
            <w:gridCol w:w="3600"/>
            <w:gridCol w:w="5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Monthly Claim 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~4,200 claims/month (range: 3,800 – 4,500)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Active Members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~62,000 (individual + group policies; ~70% corporate segment)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Annual Incurred Claims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IDR 18.5 billion (FY2025). Trending ~IDR 20 billion annualized based on Q1 2026.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Claim Rejection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~11% of total claims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Rejection Breakdown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Incomplete documentation: ~40%  |  Policy exclusions: ~30%  |  Other (late submission, inactive member): ~30%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Action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3600"/>
        <w:gridCol w:w="2200"/>
        <w:gridCol w:w="1560"/>
        <w:gridCol w:w="1500"/>
        <w:tblGridChange w:id="0">
          <w:tblGrid>
            <w:gridCol w:w="500"/>
            <w:gridCol w:w="3600"/>
            <w:gridCol w:w="2200"/>
            <w:gridCol w:w="156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Action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Deadline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Add eligibility pre-check step to PoC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Sembuh AI (Dev Team)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Before next iteration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Prepare commercial proposal with scoped pricing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May 1,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Prepare 1-page executive summary (PoC results + ROI projection)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Indi Bintang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May 1,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c2626"/>
                <w:sz w:val="20"/>
                <w:szCs w:val="20"/>
                <w:rtl w:val="0"/>
              </w:rPr>
              <w:t xml:space="preserve">TO 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Provide 200–300 sample handwritten claim forms for OCR fine-tuning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spacing w:line="280" w:lineRule="auto"/>
              <w:rPr/>
            </w:pPr>
            <w:r w:rsidDel="00000000" w:rsidR="00000000" w:rsidRPr="00000000">
              <w:rPr>
                <w:color w:val="334155"/>
                <w:sz w:val="20"/>
                <w:szCs w:val="20"/>
                <w:rtl w:val="0"/>
              </w:rPr>
              <w:t xml:space="preserve">Yoni </w:t>
            </w: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 Hartono (Sentosa)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May 7,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7706"/>
                <w:sz w:val="20"/>
                <w:szCs w:val="20"/>
                <w:rtl w:val="0"/>
              </w:rPr>
              <w:t xml:space="preserve">WAITING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Fine-tune handwriting OCR model on Sentosa form layout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Sembuh AI (Dev Team)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After #4 received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  <w:sz w:val="20"/>
                <w:szCs w:val="20"/>
                <w:rtl w:val="0"/>
              </w:rPr>
              <w:t xml:space="preserve">BLOCKED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Stakeholder Notes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400"/>
        <w:gridCol w:w="4560"/>
        <w:tblGridChange w:id="0">
          <w:tblGrid>
            <w:gridCol w:w="2400"/>
            <w:gridCol w:w="24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line="280" w:lineRule="auto"/>
              <w:rPr/>
            </w:pPr>
            <w:r w:rsidDel="00000000" w:rsidR="00000000" w:rsidRPr="00000000">
              <w:rPr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Yoni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 Hartono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Head of Claims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Primary contact. Operationally supportive. Attended PoC review. Needs VP sign-off for budget.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VP of Operations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Budget Decision Maker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Has not been met. Needs executive summary + ROI projection. </w:t>
            </w:r>
            <w:r w:rsidDel="00000000" w:rsidR="00000000" w:rsidRPr="00000000">
              <w:rPr>
                <w:color w:val="334155"/>
                <w:sz w:val="20"/>
                <w:szCs w:val="20"/>
                <w:rtl w:val="0"/>
              </w:rPr>
              <w:t xml:space="preserve">Yoni </w:t>
            </w: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 will present internally on our behalf.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pStyle w:val="Heading1"/>
        <w:spacing w:after="1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30"/>
          <w:szCs w:val="30"/>
          <w:rtl w:val="0"/>
        </w:rPr>
        <w:t xml:space="preserve">CRM Update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00" w:lin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4155"/>
          <w:sz w:val="22"/>
          <w:szCs w:val="22"/>
          <w:rtl w:val="0"/>
        </w:rPr>
        <w:t xml:space="preserve">The following fields should be updated in Monday.com (Deal: Sentosa Health Insurance):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6160"/>
        <w:tblGridChange w:id="0">
          <w:tblGrid>
            <w:gridCol w:w="3200"/>
            <w:gridCol w:w="6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CRM 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1e293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8fafc"/>
                <w:sz w:val="20"/>
                <w:szCs w:val="20"/>
                <w:rtl w:val="0"/>
              </w:rPr>
              <w:t xml:space="preserve">Update 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Last Contact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April 24,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Deal 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Waiting Confirmation (no change)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Monthly Claim 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4,200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Members Covered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62,000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Incurred (IDR jt)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18,500 (IDR 18.5 billion)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Next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Send commercial proposal + executive summary by May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4155"/>
                <w:sz w:val="20"/>
                <w:szCs w:val="20"/>
                <w:rtl w:val="0"/>
              </w:rPr>
              <w:t xml:space="preserve">Blocker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line="2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4155"/>
                <w:sz w:val="20"/>
                <w:szCs w:val="20"/>
                <w:rtl w:val="0"/>
              </w:rPr>
              <w:t xml:space="preserve">VP of Operations sign-off required. Waiting on sample forms for OCR fine-tuning.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color="3b82f6" w:space="8" w:sz="4" w:val="single"/>
        </w:pBdr>
        <w:spacing w:before="300" w:lineRule="auto"/>
        <w:rPr/>
      </w:pPr>
      <w:r w:rsidDel="00000000" w:rsidR="00000000" w:rsidRPr="00000000">
        <w:rPr>
          <w:rFonts w:ascii="Arial" w:cs="Arial" w:eastAsia="Arial" w:hAnsi="Arial"/>
          <w:color w:val="64748b"/>
          <w:sz w:val="18"/>
          <w:szCs w:val="18"/>
          <w:rtl w:val="0"/>
        </w:rPr>
        <w:t xml:space="preserve">This document was auto-generated by the Sales Intelligence Engine from a Grain video transcript using Claude (Anthropic). </w:t>
      </w:r>
      <w:r w:rsidDel="00000000" w:rsidR="00000000" w:rsidRPr="00000000">
        <w:rPr>
          <w:rFonts w:ascii="Arial" w:cs="Arial" w:eastAsia="Arial" w:hAnsi="Arial"/>
          <w:b w:val="1"/>
          <w:bCs w:val="1"/>
          <w:color w:val="64748b"/>
          <w:sz w:val="18"/>
          <w:szCs w:val="18"/>
          <w:rtl w:val="0"/>
        </w:rPr>
        <w:t xml:space="preserve">Human review recommended before sharing externally.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pBdr>
        <w:top w:color="e2e8f0" w:space="4" w:sz="4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64748b"/>
        <w:sz w:val="16"/>
        <w:szCs w:val="16"/>
        <w:rtl w:val="0"/>
      </w:rPr>
      <w:t xml:space="preserve">Generated by Claude (Anthropic) via Sales Intelligence Engine  |  Page </w:t>
    </w:r>
    <w:r w:rsidDel="00000000" w:rsidR="00000000" w:rsidRPr="00000000"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pBdr>
        <w:bottom w:color="3b82f6" w:space="4" w:sz="4" w:val="single"/>
      </w:pBdr>
      <w:tabs>
        <w:tab w:val="right" w:leader="none" w:pos="9026"/>
      </w:tabs>
      <w:spacing w:after="200" w:lineRule="auto"/>
      <w:rPr/>
    </w:pPr>
    <w:r w:rsidDel="00000000" w:rsidR="00000000" w:rsidRPr="00000000">
      <w:rPr>
        <w:rFonts w:ascii="Arial" w:cs="Arial" w:eastAsia="Arial" w:hAnsi="Arial"/>
        <w:b w:val="1"/>
        <w:bCs w:val="1"/>
        <w:color w:val="3b82f6"/>
        <w:sz w:val="16"/>
        <w:szCs w:val="16"/>
        <w:rtl w:val="0"/>
      </w:rPr>
      <w:t xml:space="preserve">Sales Intelligence Engine</w:t>
    </w:r>
    <w:r w:rsidDel="00000000" w:rsidR="00000000" w:rsidRPr="00000000">
      <w:rPr>
        <w:rFonts w:ascii="Arial" w:cs="Arial" w:eastAsia="Arial" w:hAnsi="Arial"/>
        <w:color w:val="64748b"/>
        <w:sz w:val="16"/>
        <w:szCs w:val="16"/>
        <w:rtl w:val="0"/>
      </w:rPr>
      <w:t xml:space="preserve">Auto-Generated MoM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f172a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f172a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