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16"/>
          <w:szCs w:val="16"/>
          <w:rtl w:val="0"/>
        </w:rPr>
        <w:t xml:space="preserve">MINUTES OF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40"/>
          <w:szCs w:val="40"/>
          <w:rtl w:val="0"/>
        </w:rPr>
        <w:t xml:space="preserve">Sentosa Health Insurance — PoC Review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Thursday, April 24, 2026  |  10:00 – 10:35 AM SGT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Google Meet (Remote) — Recorded via Grain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Indi Bintang (Account Manager, Sembuh AI), </w:t>
            </w: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Yoni </w:t>
            </w: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 Hartono (Head of Claims, Sentosa Health Insurance)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Meeting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PoC Review — 3-week checkpoint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Deal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Sentosa Health Insurance — STP  |  Stage: Waiting Confirmation  |  Value: $30,000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Deal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POSITIVE</w:t>
            </w: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 — Client receptive, PoC meets core needs with minor adjustments. Moving toward commercial proposal.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="30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The 3-week PoC review with Sentosa Health Insurance was productive. The OCR solution is performing well on typed claim forms with near-zero errors. Handwritten form accuracy is at 70–75% and needs to reach 85–90% before production deployment — Sentosa will provide 200–300 sample forms for model fine-tuning.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="30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A workflow adjustment is required: adding an eligibility pre-check step before claims reach the assessor queue. This is a configuration change, not a rebuild. The client’s VP of Operations is the budget decision maker and needs an executive summary with PoC results and projected ROI to approve the commercial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Key Discussion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4"/>
          <w:szCs w:val="24"/>
          <w:rtl w:val="0"/>
        </w:rPr>
        <w:t xml:space="preserve">1. PoC OCR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Typed claim forms: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Near-perfect accuracy. Client team is “generally positive” and found results better than expected.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Handwritten claim forms: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70–75% accuracy currently. Target for go-live is 85–90%.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Key issue: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Diagnosis code field on handwritten forms is frequently misread. This affects auto-adjudication downstream.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Solution: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Fine-tune the model on Sentosa’s specific claim form layout using 200–300 sample forms. Client agreed to provide these within 1–2 weeks.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4"/>
          <w:szCs w:val="24"/>
          <w:rtl w:val="0"/>
        </w:rPr>
        <w:t xml:space="preserve">2. Workflow Gap Identified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Current PoC flow: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OCR extraction → directly to review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Sentosa’s actual flow: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OCR extraction → eligibility pre-check (admin) → assessor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Gap: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The PoC skips the eligibility verification step. Without it, claims bypass the admin team’s pre-check, which breaks adoption.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Resolution: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Add eligibility pre-check as an intermediate step. Confirmed as a configuration change — no rebuild required. Sembuh dev team to implement.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4"/>
          <w:szCs w:val="24"/>
          <w:rtl w:val="0"/>
        </w:rPr>
        <w:t xml:space="preserve">3. Incomplete Documentation as Pain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Sentosa spends significant time on back-and-forth with hospitals/clinics over incomplete claim submissions.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Client sees high value in OCR + validation rules catching missing signatures, diagnosis codes, and supporting documents at intake — before entering the assessment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This directly reduces the 11% rejection rate (40% of which comes from incomplete documentation).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Client Operational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="30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The following data was shared by </w:t>
      </w:r>
      <w:r w:rsidDel="00000000" w:rsidR="00000000" w:rsidRPr="00000000">
        <w:rPr>
          <w:color w:val="334155"/>
          <w:rtl w:val="0"/>
        </w:rPr>
        <w:t xml:space="preserve">Yoni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 Hartono for commercial proposal scoping: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Monthly Claim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~4,200 claims/month (range: 3,800 – 4,500)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Active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~62,000 (individual + group policies; ~70% corporate segment)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Annual Incurred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IDR 18.5 billion (FY2025). Trending ~IDR 20 billion annualized based on Q1 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Claim Rejection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~11% of total claims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Rejection 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Incomplete documentation: ~40%  |  Policy exclusions: ~30%  |  Other (late submission, inactive member): ~30%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3600"/>
        <w:gridCol w:w="2200"/>
        <w:gridCol w:w="1560"/>
        <w:gridCol w:w="1500"/>
        <w:tblGridChange w:id="0">
          <w:tblGrid>
            <w:gridCol w:w="500"/>
            <w:gridCol w:w="3600"/>
            <w:gridCol w:w="2200"/>
            <w:gridCol w:w="15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Add eligibility pre-check step to PoC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Sembuh AI (Dev Team)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Before next iteration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Prepare commercial proposal with scoped 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Indi Bintang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May 1,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Prepare 1-page executive summary (PoC results + ROI projection)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Indi Bintang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May 1,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Provide 200–300 sample handwritten claim forms for OCR fine-tuning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line="280" w:lineRule="auto"/>
              <w:rPr/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Yoni </w:t>
            </w: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 Hartono (Sentosa)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May 7,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20"/>
                <w:szCs w:val="20"/>
                <w:rtl w:val="0"/>
              </w:rPr>
              <w:t xml:space="preserve">WAITING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Fine-tune handwriting OCR model on Sentosa form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Sembuh AI (Dev Team)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After #4 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20"/>
                <w:szCs w:val="20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1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Stakeholder Notes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Yoni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 Hartono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Head of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Primary contact. Operationally supportive. Attended PoC review. Needs VP sign-off for budget.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VP of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Budget Decision Maker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Has not been met. Needs executive summary + ROI projection. </w:t>
            </w: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Yoni </w:t>
            </w: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 will present internally on our behalf.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1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CRM Update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22"/>
          <w:szCs w:val="22"/>
          <w:rtl w:val="0"/>
        </w:rPr>
        <w:t xml:space="preserve">The following fields should be updated in Monday.com (Deal: Sentosa Health Insurance — STP):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CRM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Update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Last Contact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April 24,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Deal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Waiting Confirmation (no change)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Monthly Claim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4,200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Members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62,000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Incurred (IDR jt)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18,500 (IDR 18.5 billion)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Next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Send commercial proposal + executive summary by May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Blocker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VP of Operations sign-off required. Waiting on sample forms for OCR fine-tuning.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3b82f6" w:space="8" w:sz="4" w:val="single"/>
        </w:pBdr>
        <w:spacing w:before="300" w:lineRule="auto"/>
        <w:rPr/>
      </w:pPr>
      <w:r w:rsidDel="00000000" w:rsidR="00000000" w:rsidRPr="00000000">
        <w:rPr>
          <w:rFonts w:ascii="Arial" w:cs="Arial" w:eastAsia="Arial" w:hAnsi="Arial"/>
          <w:color w:val="64748b"/>
          <w:sz w:val="18"/>
          <w:szCs w:val="18"/>
          <w:rtl w:val="0"/>
        </w:rPr>
        <w:t xml:space="preserve">This document was auto-generated by the Sales Intelligence Engine from a Grain video transcript using Claude (Anthropic). </w:t>
      </w:r>
      <w:r w:rsidDel="00000000" w:rsidR="00000000" w:rsidRPr="00000000">
        <w:rPr>
          <w:rFonts w:ascii="Arial" w:cs="Arial" w:eastAsia="Arial" w:hAnsi="Arial"/>
          <w:b w:val="1"/>
          <w:bCs w:val="1"/>
          <w:color w:val="64748b"/>
          <w:sz w:val="18"/>
          <w:szCs w:val="18"/>
          <w:rtl w:val="0"/>
        </w:rPr>
        <w:t xml:space="preserve">Human review recommended before sharing externally.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Bdr>
        <w:top w:color="e2e8f0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4748b"/>
        <w:sz w:val="16"/>
        <w:szCs w:val="16"/>
        <w:rtl w:val="0"/>
      </w:rPr>
      <w:t xml:space="preserve">Generated by Claude (Anthropic) via Sales Intelligence Engine  |  Page </w:t>
    </w:r>
    <w:r w:rsidDel="00000000" w:rsidR="00000000" w:rsidRPr="00000000"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Bdr>
        <w:bottom w:color="3b82f6" w:space="4" w:sz="4" w:val="single"/>
      </w:pBdr>
      <w:tabs>
        <w:tab w:val="right" w:leader="none" w:pos="9026"/>
      </w:tabs>
      <w:spacing w:after="20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3b82f6"/>
        <w:sz w:val="16"/>
        <w:szCs w:val="16"/>
        <w:rtl w:val="0"/>
      </w:rPr>
      <w:t xml:space="preserve">Sales Intelligence Engine</w:t>
    </w:r>
    <w:r w:rsidDel="00000000" w:rsidR="00000000" w:rsidRPr="00000000">
      <w:rPr>
        <w:rFonts w:ascii="Arial" w:cs="Arial" w:eastAsia="Arial" w:hAnsi="Arial"/>
        <w:color w:val="64748b"/>
        <w:sz w:val="16"/>
        <w:szCs w:val="16"/>
        <w:rtl w:val="0"/>
      </w:rPr>
      <w:t xml:space="preserve">Auto-Generated MoM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172a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172a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