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Java,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()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r w:rsidR="00EF2578">
        <w:rPr>
          <w:rFonts w:ascii="Arial" w:eastAsia="Times New Roman" w:hAnsi="Arial" w:cs="Arial"/>
          <w:color w:val="000000"/>
          <w:lang w:eastAsia="ru-RU"/>
        </w:rPr>
        <w:t xml:space="preserve">татические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</w:t>
      </w:r>
      <w:bookmarkStart w:id="0" w:name="_GoBack"/>
      <w:bookmarkEnd w:id="0"/>
      <w:r w:rsidR="008A57E8">
        <w:rPr>
          <w:rFonts w:ascii="Arial" w:eastAsia="Times New Roman" w:hAnsi="Arial" w:cs="Arial"/>
          <w:color w:val="000000"/>
          <w:lang w:eastAsia="ru-RU"/>
        </w:rPr>
        <w:t>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658E5"/>
    <w:rsid w:val="00B6719A"/>
    <w:rsid w:val="00BD1658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F2578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9</Pages>
  <Words>3499</Words>
  <Characters>19948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85</cp:revision>
  <dcterms:created xsi:type="dcterms:W3CDTF">2020-04-24T15:18:00Z</dcterms:created>
  <dcterms:modified xsi:type="dcterms:W3CDTF">2020-05-16T21:33:00Z</dcterms:modified>
</cp:coreProperties>
</file>