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FD010F">
        <w:fldChar w:fldCharType="begin"/>
      </w:r>
      <w:r w:rsidR="00FD010F">
        <w:instrText xml:space="preserve"> HYPERLINK "https://javarush.ru/groups/posts/1391-konstruktorih-klassov-java-jdk-15" </w:instrText>
      </w:r>
      <w:r w:rsidR="00FD010F">
        <w:fldChar w:fldCharType="separate"/>
      </w:r>
      <w:r w:rsidR="00FD010F">
        <w:rPr>
          <w:rStyle w:val="a5"/>
        </w:rPr>
        <w:t>https://javarush.ru/groups/posts/1391-konstruktorih-klassov-java-jdk-15</w:t>
      </w:r>
      <w:r w:rsidR="00FD010F">
        <w:fldChar w:fldCharType="end"/>
      </w:r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D33D2"/>
    <w:rsid w:val="001F697C"/>
    <w:rsid w:val="002E3BA4"/>
    <w:rsid w:val="0033349E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259AE"/>
    <w:rsid w:val="009C287F"/>
    <w:rsid w:val="009C7B0B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8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50</cp:revision>
  <dcterms:created xsi:type="dcterms:W3CDTF">2020-04-24T15:18:00Z</dcterms:created>
  <dcterms:modified xsi:type="dcterms:W3CDTF">2020-05-15T20:47:00Z</dcterms:modified>
</cp:coreProperties>
</file>