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  <w:gridCol w:w="850"/>
      </w:tblGrid>
      <w:tr w:rsidR="00FE2275" w:rsidRPr="00F76E6A" w:rsidTr="00A05463">
        <w:tc>
          <w:tcPr>
            <w:tcW w:w="9640" w:type="dxa"/>
            <w:shd w:val="clear" w:color="auto" w:fill="auto"/>
            <w:hideMark/>
          </w:tcPr>
          <w:p w:rsidR="00FE2275" w:rsidRPr="00BB3C89" w:rsidRDefault="00BB3C89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91F33" w:rsidRPr="00F76E6A" w:rsidTr="00A05463">
        <w:tc>
          <w:tcPr>
            <w:tcW w:w="9640" w:type="dxa"/>
            <w:shd w:val="clear" w:color="auto" w:fill="auto"/>
          </w:tcPr>
          <w:p w:rsidR="00F91F33" w:rsidRDefault="000D5151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r w:rsidRPr="000D5151">
              <w:rPr>
                <w:szCs w:val="28"/>
              </w:rPr>
              <w:t xml:space="preserve">1 </w:t>
            </w:r>
            <w:r w:rsidR="004E4097">
              <w:rPr>
                <w:rStyle w:val="docdata"/>
                <w:color w:val="000000"/>
                <w:szCs w:val="28"/>
              </w:rPr>
              <w:t xml:space="preserve">Анализ требований для разработки </w:t>
            </w:r>
            <w:r w:rsidR="000B60EA">
              <w:rPr>
                <w:rStyle w:val="docdata"/>
                <w:color w:val="000000"/>
                <w:szCs w:val="28"/>
              </w:rPr>
              <w:t>ИС</w:t>
            </w:r>
          </w:p>
        </w:tc>
        <w:tc>
          <w:tcPr>
            <w:tcW w:w="850" w:type="dxa"/>
            <w:shd w:val="clear" w:color="auto" w:fill="auto"/>
          </w:tcPr>
          <w:p w:rsidR="00F91F33" w:rsidRPr="00D46ABE" w:rsidRDefault="00D46ABE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725483" w:rsidRPr="00F76E6A" w:rsidTr="00A05463">
        <w:tc>
          <w:tcPr>
            <w:tcW w:w="9640" w:type="dxa"/>
            <w:shd w:val="clear" w:color="auto" w:fill="auto"/>
          </w:tcPr>
          <w:p w:rsidR="00725483" w:rsidRPr="00451A0B" w:rsidRDefault="0072548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r w:rsidRPr="00451A0B">
              <w:rPr>
                <w:szCs w:val="28"/>
              </w:rPr>
              <w:t xml:space="preserve">1.1 </w:t>
            </w:r>
            <w:r w:rsidR="00C84A0C">
              <w:rPr>
                <w:rStyle w:val="docdata"/>
                <w:color w:val="000000"/>
                <w:szCs w:val="28"/>
              </w:rPr>
              <w:t>Анализ предметной области</w:t>
            </w:r>
          </w:p>
        </w:tc>
        <w:tc>
          <w:tcPr>
            <w:tcW w:w="850" w:type="dxa"/>
            <w:shd w:val="clear" w:color="auto" w:fill="auto"/>
          </w:tcPr>
          <w:p w:rsidR="00725483" w:rsidRPr="00252181" w:rsidRDefault="00D46ABE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F91F33" w:rsidRPr="00F76E6A" w:rsidTr="00A05463">
        <w:tc>
          <w:tcPr>
            <w:tcW w:w="9640" w:type="dxa"/>
            <w:shd w:val="clear" w:color="auto" w:fill="auto"/>
          </w:tcPr>
          <w:p w:rsidR="00F91F33" w:rsidRPr="00FF0109" w:rsidRDefault="00996B54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r w:rsidRPr="00FF0109">
              <w:rPr>
                <w:szCs w:val="28"/>
              </w:rPr>
              <w:t>1.</w:t>
            </w:r>
            <w:r w:rsidR="009D0FCB">
              <w:rPr>
                <w:szCs w:val="28"/>
              </w:rPr>
              <w:t>2</w:t>
            </w:r>
            <w:r w:rsidRPr="00FF0109">
              <w:rPr>
                <w:szCs w:val="28"/>
              </w:rPr>
              <w:t xml:space="preserve"> </w:t>
            </w:r>
            <w:r w:rsidR="003707A5">
              <w:rPr>
                <w:rStyle w:val="docdata"/>
                <w:color w:val="000000"/>
                <w:szCs w:val="28"/>
              </w:rPr>
              <w:t>Формирование требований по аппаратной части ИС</w:t>
            </w:r>
          </w:p>
        </w:tc>
        <w:tc>
          <w:tcPr>
            <w:tcW w:w="850" w:type="dxa"/>
            <w:shd w:val="clear" w:color="auto" w:fill="auto"/>
          </w:tcPr>
          <w:p w:rsidR="00F91F33" w:rsidRPr="00A0069E" w:rsidRDefault="00C45AA0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497FC2" w:rsidRPr="00F76E6A" w:rsidTr="00A05463">
        <w:tc>
          <w:tcPr>
            <w:tcW w:w="9640" w:type="dxa"/>
            <w:shd w:val="clear" w:color="auto" w:fill="auto"/>
          </w:tcPr>
          <w:p w:rsidR="00497FC2" w:rsidRPr="00FF0109" w:rsidRDefault="00497FC2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r>
              <w:rPr>
                <w:szCs w:val="28"/>
              </w:rPr>
              <w:t>1.3</w:t>
            </w:r>
            <w:r w:rsidRPr="00497FC2">
              <w:rPr>
                <w:szCs w:val="28"/>
              </w:rPr>
              <w:tab/>
              <w:t>Выбор и обоснование технологий построения ИС</w:t>
            </w:r>
          </w:p>
        </w:tc>
        <w:tc>
          <w:tcPr>
            <w:tcW w:w="850" w:type="dxa"/>
            <w:shd w:val="clear" w:color="auto" w:fill="auto"/>
          </w:tcPr>
          <w:p w:rsidR="00497FC2" w:rsidRDefault="00DD519A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4557FD" w:rsidRPr="00F76E6A" w:rsidTr="00A05463">
        <w:tc>
          <w:tcPr>
            <w:tcW w:w="9640" w:type="dxa"/>
            <w:shd w:val="clear" w:color="auto" w:fill="auto"/>
          </w:tcPr>
          <w:p w:rsidR="004557FD" w:rsidRDefault="00912B76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r>
              <w:rPr>
                <w:szCs w:val="28"/>
              </w:rPr>
              <w:t xml:space="preserve">2 </w:t>
            </w:r>
            <w:r w:rsidR="00E67A53">
              <w:rPr>
                <w:rStyle w:val="docdata"/>
                <w:color w:val="000000"/>
                <w:szCs w:val="28"/>
              </w:rPr>
              <w:t>Проектирование ИС</w:t>
            </w:r>
          </w:p>
        </w:tc>
        <w:tc>
          <w:tcPr>
            <w:tcW w:w="850" w:type="dxa"/>
            <w:shd w:val="clear" w:color="auto" w:fill="auto"/>
          </w:tcPr>
          <w:p w:rsidR="004557FD" w:rsidRPr="00F76E6A" w:rsidRDefault="00B20FF4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E9715C" w:rsidRPr="00F76E6A" w:rsidTr="00A05463">
        <w:tc>
          <w:tcPr>
            <w:tcW w:w="9640" w:type="dxa"/>
            <w:shd w:val="clear" w:color="auto" w:fill="auto"/>
          </w:tcPr>
          <w:p w:rsidR="00E9715C" w:rsidRDefault="00E9715C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="00D16AB7">
              <w:rPr>
                <w:rStyle w:val="docdata"/>
                <w:color w:val="000000"/>
                <w:szCs w:val="28"/>
              </w:rPr>
              <w:t>Разработка логической схемы ИС</w:t>
            </w:r>
          </w:p>
        </w:tc>
        <w:tc>
          <w:tcPr>
            <w:tcW w:w="850" w:type="dxa"/>
            <w:shd w:val="clear" w:color="auto" w:fill="auto"/>
          </w:tcPr>
          <w:p w:rsidR="00E9715C" w:rsidRPr="00F76E6A" w:rsidRDefault="00B20FF4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4500CA" w:rsidRPr="00F76E6A" w:rsidTr="00A05463">
        <w:tc>
          <w:tcPr>
            <w:tcW w:w="9640" w:type="dxa"/>
            <w:shd w:val="clear" w:color="auto" w:fill="auto"/>
          </w:tcPr>
          <w:p w:rsidR="004500CA" w:rsidRDefault="00AA7E72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r w:rsidRPr="00AA7E72">
              <w:rPr>
                <w:szCs w:val="28"/>
              </w:rPr>
              <w:t>2.2 Физическая схема ИС</w:t>
            </w:r>
          </w:p>
        </w:tc>
        <w:tc>
          <w:tcPr>
            <w:tcW w:w="850" w:type="dxa"/>
            <w:shd w:val="clear" w:color="auto" w:fill="auto"/>
          </w:tcPr>
          <w:p w:rsidR="001F0F48" w:rsidRDefault="0080093C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</w:tr>
      <w:tr w:rsidR="00A67CF9" w:rsidRPr="00F76E6A" w:rsidTr="00A05463">
        <w:tc>
          <w:tcPr>
            <w:tcW w:w="9640" w:type="dxa"/>
            <w:shd w:val="clear" w:color="auto" w:fill="auto"/>
          </w:tcPr>
          <w:p w:rsidR="00A67CF9" w:rsidRPr="000E08F7" w:rsidRDefault="00E67A53" w:rsidP="00A05463">
            <w:pPr>
              <w:pStyle w:val="Default"/>
              <w:spacing w:line="360" w:lineRule="auto"/>
              <w:ind w:left="88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r w:rsidR="00A67CF9" w:rsidRPr="00AA715C">
              <w:rPr>
                <w:sz w:val="28"/>
                <w:szCs w:val="28"/>
              </w:rPr>
              <w:t xml:space="preserve"> </w:t>
            </w:r>
            <w:r>
              <w:rPr>
                <w:rStyle w:val="docdata"/>
                <w:sz w:val="28"/>
                <w:szCs w:val="28"/>
              </w:rPr>
              <w:t>Подбор аппаратного обеспечения и кабельной системы для ИС</w:t>
            </w:r>
          </w:p>
        </w:tc>
        <w:tc>
          <w:tcPr>
            <w:tcW w:w="850" w:type="dxa"/>
            <w:shd w:val="clear" w:color="auto" w:fill="auto"/>
          </w:tcPr>
          <w:p w:rsidR="00A67CF9" w:rsidRDefault="005F27B9" w:rsidP="00E43E8B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A67CF9" w:rsidRPr="00F76E6A" w:rsidTr="00A05463">
        <w:tc>
          <w:tcPr>
            <w:tcW w:w="9640" w:type="dxa"/>
            <w:shd w:val="clear" w:color="auto" w:fill="auto"/>
          </w:tcPr>
          <w:p w:rsidR="00A67CF9" w:rsidRPr="00CA5F9B" w:rsidRDefault="008B7D84" w:rsidP="00A05463">
            <w:pPr>
              <w:spacing w:line="360" w:lineRule="auto"/>
              <w:ind w:left="88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 </w:t>
            </w:r>
            <w:r w:rsidR="00625103">
              <w:rPr>
                <w:szCs w:val="28"/>
              </w:rPr>
              <w:t>М</w:t>
            </w:r>
            <w:r w:rsidR="00625103" w:rsidRPr="008B7D84">
              <w:rPr>
                <w:szCs w:val="28"/>
              </w:rPr>
              <w:t xml:space="preserve">онтаж и конфигурация </w:t>
            </w:r>
            <w:r w:rsidR="00625103">
              <w:rPr>
                <w:szCs w:val="28"/>
              </w:rPr>
              <w:t>ИС</w:t>
            </w:r>
          </w:p>
        </w:tc>
        <w:tc>
          <w:tcPr>
            <w:tcW w:w="850" w:type="dxa"/>
            <w:shd w:val="clear" w:color="auto" w:fill="auto"/>
          </w:tcPr>
          <w:p w:rsidR="00A67CF9" w:rsidRDefault="00120DB4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  <w:tr w:rsidR="00A67CF9" w:rsidRPr="00F76E6A" w:rsidTr="00A05463">
        <w:tc>
          <w:tcPr>
            <w:tcW w:w="9640" w:type="dxa"/>
            <w:shd w:val="clear" w:color="auto" w:fill="auto"/>
          </w:tcPr>
          <w:p w:rsidR="00A67CF9" w:rsidRPr="00330A7F" w:rsidRDefault="00CA3C1F" w:rsidP="00A05463">
            <w:pPr>
              <w:pStyle w:val="af5"/>
              <w:spacing w:after="0" w:line="360" w:lineRule="auto"/>
              <w:ind w:left="88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A3C1F">
              <w:rPr>
                <w:rFonts w:ascii="Times New Roman" w:hAnsi="Times New Roman"/>
                <w:sz w:val="28"/>
                <w:szCs w:val="28"/>
              </w:rPr>
              <w:t>3.1. Разработка инструкции по монтаж</w:t>
            </w:r>
            <w:bookmarkStart w:id="0" w:name="_GoBack"/>
            <w:bookmarkEnd w:id="0"/>
            <w:r w:rsidRPr="00CA3C1F">
              <w:rPr>
                <w:rFonts w:ascii="Times New Roman" w:hAnsi="Times New Roman"/>
                <w:sz w:val="28"/>
                <w:szCs w:val="28"/>
              </w:rPr>
              <w:t>у ИС</w:t>
            </w:r>
          </w:p>
        </w:tc>
        <w:tc>
          <w:tcPr>
            <w:tcW w:w="850" w:type="dxa"/>
            <w:shd w:val="clear" w:color="auto" w:fill="auto"/>
          </w:tcPr>
          <w:p w:rsidR="00A67CF9" w:rsidRDefault="00120DB4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  <w:tr w:rsidR="00EA7465" w:rsidRPr="00F76E6A" w:rsidTr="00A05463">
        <w:tc>
          <w:tcPr>
            <w:tcW w:w="9640" w:type="dxa"/>
            <w:shd w:val="clear" w:color="auto" w:fill="auto"/>
          </w:tcPr>
          <w:p w:rsidR="00EA7465" w:rsidRPr="00330A7F" w:rsidRDefault="003D056A" w:rsidP="00A05463">
            <w:pPr>
              <w:spacing w:line="360" w:lineRule="auto"/>
              <w:ind w:left="881"/>
              <w:rPr>
                <w:szCs w:val="28"/>
              </w:rPr>
            </w:pPr>
            <w:r w:rsidRPr="003D056A">
              <w:rPr>
                <w:szCs w:val="28"/>
              </w:rPr>
              <w:t>3.2. Обзор особенностей конфигурации сетевого ПО</w:t>
            </w:r>
          </w:p>
        </w:tc>
        <w:tc>
          <w:tcPr>
            <w:tcW w:w="850" w:type="dxa"/>
            <w:shd w:val="clear" w:color="auto" w:fill="auto"/>
          </w:tcPr>
          <w:p w:rsidR="00EA7465" w:rsidRDefault="003D056A" w:rsidP="00DE373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DE373A">
              <w:rPr>
                <w:szCs w:val="28"/>
              </w:rPr>
              <w:t>3</w:t>
            </w:r>
          </w:p>
        </w:tc>
      </w:tr>
      <w:tr w:rsidR="00E76181" w:rsidRPr="00F76E6A" w:rsidTr="00A05463">
        <w:tc>
          <w:tcPr>
            <w:tcW w:w="9640" w:type="dxa"/>
            <w:shd w:val="clear" w:color="auto" w:fill="auto"/>
          </w:tcPr>
          <w:p w:rsidR="00E76181" w:rsidRDefault="00847DBF" w:rsidP="00A05463">
            <w:pPr>
              <w:spacing w:line="360" w:lineRule="auto"/>
              <w:ind w:left="881"/>
              <w:rPr>
                <w:szCs w:val="28"/>
              </w:rPr>
            </w:pPr>
            <w:r>
              <w:rPr>
                <w:szCs w:val="28"/>
              </w:rPr>
              <w:t xml:space="preserve">3.3 </w:t>
            </w:r>
            <w:r w:rsidRPr="00847DBF">
              <w:rPr>
                <w:szCs w:val="28"/>
              </w:rPr>
              <w:t xml:space="preserve"> Настройка уровней доступа пользователей к сетевым ресурсам ИС</w:t>
            </w:r>
          </w:p>
        </w:tc>
        <w:tc>
          <w:tcPr>
            <w:tcW w:w="850" w:type="dxa"/>
            <w:shd w:val="clear" w:color="auto" w:fill="auto"/>
          </w:tcPr>
          <w:p w:rsidR="00E76181" w:rsidRDefault="00A05463" w:rsidP="00A05463">
            <w:pPr>
              <w:widowControl w:val="0"/>
              <w:suppressAutoHyphens/>
              <w:autoSpaceDE w:val="0"/>
              <w:spacing w:line="360" w:lineRule="auto"/>
              <w:ind w:right="2"/>
              <w:rPr>
                <w:szCs w:val="28"/>
              </w:rPr>
            </w:pPr>
            <w:r>
              <w:rPr>
                <w:szCs w:val="28"/>
              </w:rPr>
              <w:t xml:space="preserve">     </w:t>
            </w:r>
            <w:r w:rsidR="00476C74">
              <w:rPr>
                <w:szCs w:val="28"/>
              </w:rPr>
              <w:t>24</w:t>
            </w:r>
          </w:p>
        </w:tc>
      </w:tr>
      <w:tr w:rsidR="00262F66" w:rsidRPr="00F76E6A" w:rsidTr="00A05463">
        <w:tc>
          <w:tcPr>
            <w:tcW w:w="9640" w:type="dxa"/>
            <w:shd w:val="clear" w:color="auto" w:fill="auto"/>
          </w:tcPr>
          <w:p w:rsidR="00262F66" w:rsidRPr="00B731D7" w:rsidRDefault="000B2FDF" w:rsidP="00A05463">
            <w:pPr>
              <w:pStyle w:val="Default"/>
              <w:spacing w:line="360" w:lineRule="auto"/>
              <w:ind w:left="881"/>
              <w:jc w:val="both"/>
              <w:rPr>
                <w:sz w:val="28"/>
                <w:szCs w:val="28"/>
              </w:rPr>
            </w:pPr>
            <w:r w:rsidRPr="000B2FDF">
              <w:rPr>
                <w:sz w:val="28"/>
                <w:szCs w:val="28"/>
              </w:rPr>
              <w:t>3.4. Планирование схемы мониторинга работы ИС</w:t>
            </w:r>
          </w:p>
        </w:tc>
        <w:tc>
          <w:tcPr>
            <w:tcW w:w="850" w:type="dxa"/>
            <w:shd w:val="clear" w:color="auto" w:fill="auto"/>
          </w:tcPr>
          <w:p w:rsidR="00262F66" w:rsidRDefault="00377ABD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  <w:tr w:rsidR="00BC7883" w:rsidRPr="00F76E6A" w:rsidTr="00A05463">
        <w:tc>
          <w:tcPr>
            <w:tcW w:w="9640" w:type="dxa"/>
            <w:shd w:val="clear" w:color="auto" w:fill="auto"/>
          </w:tcPr>
          <w:p w:rsidR="00BC7883" w:rsidRPr="000B2FDF" w:rsidRDefault="00BC7883" w:rsidP="00A05463">
            <w:pPr>
              <w:pStyle w:val="Default"/>
              <w:spacing w:line="360" w:lineRule="auto"/>
              <w:ind w:left="881"/>
              <w:jc w:val="both"/>
              <w:rPr>
                <w:sz w:val="28"/>
                <w:szCs w:val="28"/>
              </w:rPr>
            </w:pPr>
            <w:r w:rsidRPr="00BC7883">
              <w:rPr>
                <w:sz w:val="28"/>
                <w:szCs w:val="28"/>
              </w:rPr>
              <w:t>3.5. Прогнозирование перспектив развития ИС</w:t>
            </w:r>
          </w:p>
        </w:tc>
        <w:tc>
          <w:tcPr>
            <w:tcW w:w="850" w:type="dxa"/>
            <w:shd w:val="clear" w:color="auto" w:fill="auto"/>
          </w:tcPr>
          <w:p w:rsidR="00BC7883" w:rsidRDefault="00350BA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</w:tr>
      <w:tr w:rsidR="00524F69" w:rsidRPr="00F76E6A" w:rsidTr="00A05463">
        <w:tc>
          <w:tcPr>
            <w:tcW w:w="9640" w:type="dxa"/>
            <w:shd w:val="clear" w:color="auto" w:fill="auto"/>
          </w:tcPr>
          <w:p w:rsidR="00524F69" w:rsidRDefault="00524F69" w:rsidP="00A05463">
            <w:pPr>
              <w:spacing w:line="360" w:lineRule="auto"/>
              <w:ind w:left="881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</w:tcPr>
          <w:p w:rsidR="00524F69" w:rsidRDefault="004678FA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EA7465" w:rsidRPr="00F76E6A" w:rsidTr="00A05463">
        <w:trPr>
          <w:trHeight w:val="80"/>
        </w:trPr>
        <w:tc>
          <w:tcPr>
            <w:tcW w:w="9640" w:type="dxa"/>
            <w:shd w:val="clear" w:color="auto" w:fill="auto"/>
          </w:tcPr>
          <w:p w:rsidR="00EA7465" w:rsidRPr="00F76E6A" w:rsidRDefault="00EA7465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EA7465" w:rsidRPr="00F76E6A" w:rsidRDefault="004678FA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</w:tbl>
    <w:p w:rsidR="00157BE7" w:rsidRPr="00402A06" w:rsidRDefault="00157BE7" w:rsidP="00402A06">
      <w:pPr>
        <w:rPr>
          <w:szCs w:val="28"/>
        </w:rPr>
      </w:pPr>
    </w:p>
    <w:sectPr w:rsidR="00157BE7" w:rsidRPr="00402A06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A80" w:rsidRDefault="00656A80">
      <w:r>
        <w:separator/>
      </w:r>
    </w:p>
  </w:endnote>
  <w:endnote w:type="continuationSeparator" w:id="0">
    <w:p w:rsidR="00656A80" w:rsidRDefault="00656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656A80" w:rsidP="004257E4">
    <w:pPr>
      <w:pStyle w:val="a9"/>
      <w:tabs>
        <w:tab w:val="clear" w:pos="4677"/>
        <w:tab w:val="clear" w:pos="9355"/>
        <w:tab w:val="left" w:pos="1426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3A18F0" w:rsidRPr="003A18F0">
                  <w:rPr>
                    <w:rStyle w:val="docdata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>465277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.511</w:t>
                </w: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5D0F26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28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F15C66" w:rsidRPr="009505D0" w:rsidRDefault="009505D0" w:rsidP="009505D0">
                <w:pPr>
                  <w:jc w:val="center"/>
                  <w:rPr>
                    <w:rFonts w:ascii="GOST type A" w:hAnsi="GOST type A"/>
                    <w:sz w:val="32"/>
                  </w:rPr>
                </w:pPr>
                <w:r w:rsidRPr="009505D0">
                  <w:rPr>
                    <w:rFonts w:ascii="GOST type A" w:hAnsi="GOST type A"/>
                    <w:sz w:val="32"/>
                  </w:rPr>
                  <w:t>Проектирование информационной сети организации</w:t>
                </w:r>
              </w:p>
              <w:p w:rsidR="009505D0" w:rsidRPr="00342D59" w:rsidRDefault="009505D0" w:rsidP="009505D0">
                <w:pPr>
                  <w:spacing w:line="276" w:lineRule="auto"/>
                  <w:jc w:val="center"/>
                  <w:rPr>
                    <w:rFonts w:ascii="GOST type A" w:hAnsi="GOST type A"/>
                    <w:sz w:val="36"/>
                  </w:rPr>
                </w:pPr>
              </w:p>
              <w:p w:rsidR="00BC2D73" w:rsidRPr="00731FEC" w:rsidRDefault="00EF6D00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  <w:r w:rsidRPr="00731FEC">
                  <w:rPr>
                    <w:rFonts w:ascii="GOST type A" w:hAnsi="GOST type A"/>
                    <w:sz w:val="24"/>
                  </w:rPr>
                  <w:t>Пояснительная записка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A80" w:rsidRDefault="00656A80">
      <w:r>
        <w:separator/>
      </w:r>
    </w:p>
  </w:footnote>
  <w:footnote w:type="continuationSeparator" w:id="0">
    <w:p w:rsidR="00656A80" w:rsidRDefault="00656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656A80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2045C"/>
    <w:rsid w:val="00026F6E"/>
    <w:rsid w:val="00033632"/>
    <w:rsid w:val="0003442A"/>
    <w:rsid w:val="000347C9"/>
    <w:rsid w:val="000544CD"/>
    <w:rsid w:val="00054635"/>
    <w:rsid w:val="000941B7"/>
    <w:rsid w:val="000A3005"/>
    <w:rsid w:val="000B2FDF"/>
    <w:rsid w:val="000B60EA"/>
    <w:rsid w:val="000C0BCC"/>
    <w:rsid w:val="000C402E"/>
    <w:rsid w:val="000C7CF8"/>
    <w:rsid w:val="000D5151"/>
    <w:rsid w:val="000D6628"/>
    <w:rsid w:val="000E08F7"/>
    <w:rsid w:val="000E3AAB"/>
    <w:rsid w:val="00120DB4"/>
    <w:rsid w:val="0014093C"/>
    <w:rsid w:val="001527E0"/>
    <w:rsid w:val="0015384F"/>
    <w:rsid w:val="00157BE7"/>
    <w:rsid w:val="00162085"/>
    <w:rsid w:val="001830BF"/>
    <w:rsid w:val="001C2324"/>
    <w:rsid w:val="001C5115"/>
    <w:rsid w:val="001D78FA"/>
    <w:rsid w:val="001E3CB0"/>
    <w:rsid w:val="001F0F48"/>
    <w:rsid w:val="00200DBC"/>
    <w:rsid w:val="00205BD0"/>
    <w:rsid w:val="002102C3"/>
    <w:rsid w:val="002232B1"/>
    <w:rsid w:val="00227BE0"/>
    <w:rsid w:val="002336EE"/>
    <w:rsid w:val="00245F1D"/>
    <w:rsid w:val="00252181"/>
    <w:rsid w:val="00262F66"/>
    <w:rsid w:val="00263E2F"/>
    <w:rsid w:val="00264A0E"/>
    <w:rsid w:val="00285B67"/>
    <w:rsid w:val="002A64E6"/>
    <w:rsid w:val="002E36B9"/>
    <w:rsid w:val="002E456A"/>
    <w:rsid w:val="003239DC"/>
    <w:rsid w:val="00325A5C"/>
    <w:rsid w:val="00327777"/>
    <w:rsid w:val="00342D59"/>
    <w:rsid w:val="003454D5"/>
    <w:rsid w:val="00350BA5"/>
    <w:rsid w:val="003568F7"/>
    <w:rsid w:val="003704A4"/>
    <w:rsid w:val="003707A5"/>
    <w:rsid w:val="00377ABD"/>
    <w:rsid w:val="003877BA"/>
    <w:rsid w:val="003A18F0"/>
    <w:rsid w:val="003B215E"/>
    <w:rsid w:val="003C4124"/>
    <w:rsid w:val="003D056A"/>
    <w:rsid w:val="003E7E2D"/>
    <w:rsid w:val="003F3183"/>
    <w:rsid w:val="003F410E"/>
    <w:rsid w:val="003F670C"/>
    <w:rsid w:val="00401939"/>
    <w:rsid w:val="00402A06"/>
    <w:rsid w:val="00422A5E"/>
    <w:rsid w:val="004257E4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C64C9"/>
    <w:rsid w:val="004D5C0C"/>
    <w:rsid w:val="004D609D"/>
    <w:rsid w:val="004E218D"/>
    <w:rsid w:val="004E4097"/>
    <w:rsid w:val="004E5FED"/>
    <w:rsid w:val="005059AA"/>
    <w:rsid w:val="0051155C"/>
    <w:rsid w:val="0051271E"/>
    <w:rsid w:val="00515E10"/>
    <w:rsid w:val="00524F69"/>
    <w:rsid w:val="0054094D"/>
    <w:rsid w:val="00540C1A"/>
    <w:rsid w:val="00543BD9"/>
    <w:rsid w:val="0054535A"/>
    <w:rsid w:val="0055560D"/>
    <w:rsid w:val="00575F39"/>
    <w:rsid w:val="00592606"/>
    <w:rsid w:val="005A7699"/>
    <w:rsid w:val="005B247A"/>
    <w:rsid w:val="005B4A4B"/>
    <w:rsid w:val="005B6E34"/>
    <w:rsid w:val="005B7CEC"/>
    <w:rsid w:val="005C48BC"/>
    <w:rsid w:val="005C5F98"/>
    <w:rsid w:val="005D0F26"/>
    <w:rsid w:val="005F27B9"/>
    <w:rsid w:val="005F5CAC"/>
    <w:rsid w:val="00606E17"/>
    <w:rsid w:val="00611244"/>
    <w:rsid w:val="00625103"/>
    <w:rsid w:val="006274FE"/>
    <w:rsid w:val="00634A1D"/>
    <w:rsid w:val="0063737B"/>
    <w:rsid w:val="00656A80"/>
    <w:rsid w:val="0066581D"/>
    <w:rsid w:val="006753F8"/>
    <w:rsid w:val="006B5E83"/>
    <w:rsid w:val="006E5EA0"/>
    <w:rsid w:val="006F684D"/>
    <w:rsid w:val="007056C4"/>
    <w:rsid w:val="00713FFD"/>
    <w:rsid w:val="00717F17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7E66F9"/>
    <w:rsid w:val="0080093C"/>
    <w:rsid w:val="00811D2B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5DB2"/>
    <w:rsid w:val="008A0FAB"/>
    <w:rsid w:val="008B2615"/>
    <w:rsid w:val="008B7D84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31A9F"/>
    <w:rsid w:val="0094443C"/>
    <w:rsid w:val="009505D0"/>
    <w:rsid w:val="00952AD1"/>
    <w:rsid w:val="009659E2"/>
    <w:rsid w:val="00987852"/>
    <w:rsid w:val="00996B54"/>
    <w:rsid w:val="009D0FCB"/>
    <w:rsid w:val="009D3F04"/>
    <w:rsid w:val="009E7128"/>
    <w:rsid w:val="009F019A"/>
    <w:rsid w:val="009F1F01"/>
    <w:rsid w:val="00A0069E"/>
    <w:rsid w:val="00A05463"/>
    <w:rsid w:val="00A0730E"/>
    <w:rsid w:val="00A20B0C"/>
    <w:rsid w:val="00A23149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A7E72"/>
    <w:rsid w:val="00AC6A19"/>
    <w:rsid w:val="00AE0683"/>
    <w:rsid w:val="00AF40CE"/>
    <w:rsid w:val="00AF5D1C"/>
    <w:rsid w:val="00AF6749"/>
    <w:rsid w:val="00B10067"/>
    <w:rsid w:val="00B15349"/>
    <w:rsid w:val="00B20FF4"/>
    <w:rsid w:val="00B22510"/>
    <w:rsid w:val="00B226E3"/>
    <w:rsid w:val="00B4282A"/>
    <w:rsid w:val="00B57E3F"/>
    <w:rsid w:val="00B62CA6"/>
    <w:rsid w:val="00B731D7"/>
    <w:rsid w:val="00B758A9"/>
    <w:rsid w:val="00B7635F"/>
    <w:rsid w:val="00B766DE"/>
    <w:rsid w:val="00BB1ACC"/>
    <w:rsid w:val="00BB3C89"/>
    <w:rsid w:val="00BB411D"/>
    <w:rsid w:val="00BB71AD"/>
    <w:rsid w:val="00BC2D73"/>
    <w:rsid w:val="00BC7883"/>
    <w:rsid w:val="00BE6887"/>
    <w:rsid w:val="00BE69D5"/>
    <w:rsid w:val="00C14464"/>
    <w:rsid w:val="00C34A70"/>
    <w:rsid w:val="00C45AA0"/>
    <w:rsid w:val="00C55AF0"/>
    <w:rsid w:val="00C75F1E"/>
    <w:rsid w:val="00C84A0C"/>
    <w:rsid w:val="00C85281"/>
    <w:rsid w:val="00C9186E"/>
    <w:rsid w:val="00C96BF7"/>
    <w:rsid w:val="00CA3C1F"/>
    <w:rsid w:val="00CA5E07"/>
    <w:rsid w:val="00CA5F9B"/>
    <w:rsid w:val="00CD1814"/>
    <w:rsid w:val="00CF4BE4"/>
    <w:rsid w:val="00D00165"/>
    <w:rsid w:val="00D11E5B"/>
    <w:rsid w:val="00D132AC"/>
    <w:rsid w:val="00D1673B"/>
    <w:rsid w:val="00D16AB7"/>
    <w:rsid w:val="00D20EDC"/>
    <w:rsid w:val="00D3075C"/>
    <w:rsid w:val="00D46ABE"/>
    <w:rsid w:val="00D57A7D"/>
    <w:rsid w:val="00D60E92"/>
    <w:rsid w:val="00D62AE2"/>
    <w:rsid w:val="00D6626A"/>
    <w:rsid w:val="00DA2E1C"/>
    <w:rsid w:val="00DC1827"/>
    <w:rsid w:val="00DD2EA8"/>
    <w:rsid w:val="00DD519A"/>
    <w:rsid w:val="00DE373A"/>
    <w:rsid w:val="00DE44EB"/>
    <w:rsid w:val="00DF1BA2"/>
    <w:rsid w:val="00DF483C"/>
    <w:rsid w:val="00E12C48"/>
    <w:rsid w:val="00E20239"/>
    <w:rsid w:val="00E2130B"/>
    <w:rsid w:val="00E26319"/>
    <w:rsid w:val="00E335C4"/>
    <w:rsid w:val="00E403C4"/>
    <w:rsid w:val="00E43E8B"/>
    <w:rsid w:val="00E46AD6"/>
    <w:rsid w:val="00E67A53"/>
    <w:rsid w:val="00E7159D"/>
    <w:rsid w:val="00E76181"/>
    <w:rsid w:val="00E9715C"/>
    <w:rsid w:val="00E97DA4"/>
    <w:rsid w:val="00EA7465"/>
    <w:rsid w:val="00EB3DF1"/>
    <w:rsid w:val="00EE1E59"/>
    <w:rsid w:val="00EF6D00"/>
    <w:rsid w:val="00F15C66"/>
    <w:rsid w:val="00F27024"/>
    <w:rsid w:val="00F41252"/>
    <w:rsid w:val="00F44301"/>
    <w:rsid w:val="00F61FEE"/>
    <w:rsid w:val="00F76E6A"/>
    <w:rsid w:val="00F91F33"/>
    <w:rsid w:val="00F97F2C"/>
    <w:rsid w:val="00FB0298"/>
    <w:rsid w:val="00FB05D7"/>
    <w:rsid w:val="00FB3154"/>
    <w:rsid w:val="00FB40BC"/>
    <w:rsid w:val="00FE2275"/>
    <w:rsid w:val="00F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482E96E9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52549-8049-4ACC-A745-81D102D9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219</cp:revision>
  <cp:lastPrinted>2024-01-10T10:27:00Z</cp:lastPrinted>
  <dcterms:created xsi:type="dcterms:W3CDTF">2010-05-13T10:19:00Z</dcterms:created>
  <dcterms:modified xsi:type="dcterms:W3CDTF">2025-03-05T17:45:00Z</dcterms:modified>
</cp:coreProperties>
</file>