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E97" w:rsidRDefault="00560E97" w:rsidP="00560E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0E97">
        <w:rPr>
          <w:rFonts w:ascii="Times New Roman" w:hAnsi="Times New Roman" w:cs="Times New Roman"/>
          <w:sz w:val="28"/>
          <w:szCs w:val="28"/>
        </w:rPr>
        <w:t xml:space="preserve">Объектом исследования дипломного проекта является </w:t>
      </w:r>
      <w:r w:rsidR="00393D6E" w:rsidRPr="00560E9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393D6E">
        <w:rPr>
          <w:rFonts w:ascii="Times New Roman" w:hAnsi="Times New Roman" w:cs="Times New Roman"/>
          <w:sz w:val="28"/>
          <w:szCs w:val="28"/>
        </w:rPr>
        <w:t>предприятия</w:t>
      </w:r>
      <w:r w:rsidRPr="00560E97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560E97">
        <w:rPr>
          <w:rFonts w:ascii="Times New Roman" w:hAnsi="Times New Roman" w:cs="Times New Roman"/>
          <w:sz w:val="28"/>
          <w:szCs w:val="28"/>
        </w:rPr>
        <w:t>».</w:t>
      </w:r>
    </w:p>
    <w:p w:rsidR="00E56003" w:rsidRPr="001500BE" w:rsidRDefault="00E56003" w:rsidP="00560E97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Pr="00ED0A6C" w:rsidRDefault="00E56003" w:rsidP="00ED0A6C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>; приобретение навыков практического решения информацион</w:t>
      </w:r>
      <w:r w:rsidRPr="001500BE">
        <w:rPr>
          <w:rFonts w:ascii="Times New Roman" w:hAnsi="Times New Roman"/>
          <w:sz w:val="28"/>
          <w:szCs w:val="28"/>
        </w:rPr>
        <w:softHyphen/>
        <w:t xml:space="preserve">ных задач на конкретном рабочем месте в качестве исполнителя или стажера;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Default="00116474" w:rsidP="001164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6747A8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>Руководитель организации</w:t>
      </w:r>
      <w:r w:rsidR="00424B60">
        <w:rPr>
          <w:rFonts w:ascii="Times New Roman" w:hAnsi="Times New Roman" w:cs="Times New Roman"/>
          <w:sz w:val="28"/>
          <w:szCs w:val="28"/>
        </w:rPr>
        <w:t xml:space="preserve">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</w:t>
      </w:r>
      <w:r w:rsidRPr="0088060F">
        <w:rPr>
          <w:rFonts w:ascii="Times New Roman" w:hAnsi="Times New Roman" w:cs="Times New Roman"/>
          <w:sz w:val="28"/>
          <w:szCs w:val="28"/>
        </w:rPr>
        <w:t xml:space="preserve">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B810F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C073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C0739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1C0739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1C0739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1C0739">
        <w:rPr>
          <w:rFonts w:ascii="Times New Roman" w:hAnsi="Times New Roman" w:cs="Times New Roman"/>
          <w:sz w:val="28"/>
          <w:szCs w:val="28"/>
        </w:rPr>
        <w:t>СО</w:t>
      </w:r>
      <w:r w:rsidR="001C0739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1C0739" w:rsidRPr="00FE033A">
        <w:rPr>
          <w:rFonts w:ascii="Times New Roman" w:hAnsi="Times New Roman" w:cs="Times New Roman"/>
          <w:sz w:val="28"/>
          <w:szCs w:val="28"/>
        </w:rPr>
        <w:t>ООО «</w:t>
      </w:r>
      <w:r w:rsidR="001C0739">
        <w:rPr>
          <w:rFonts w:ascii="Times New Roman" w:hAnsi="Times New Roman" w:cs="Times New Roman"/>
          <w:sz w:val="28"/>
          <w:szCs w:val="28"/>
        </w:rPr>
        <w:t>ИМЦ</w:t>
      </w:r>
      <w:r w:rsidR="001C0739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3B6A02">
        <w:rPr>
          <w:rFonts w:ascii="Times New Roman" w:hAnsi="Times New Roman" w:cs="Times New Roman"/>
          <w:sz w:val="28"/>
          <w:szCs w:val="28"/>
        </w:rPr>
        <w:t>2шт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927DA5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3A0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 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E45771" w:rsidRDefault="00E45771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lastRenderedPageBreak/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5667375" cy="290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625" cy="2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8746C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8746C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4790364" cy="299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144" cy="29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lastRenderedPageBreak/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3E36A4" w:rsidRDefault="005D29DF" w:rsidP="0065008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</w:p>
    <w:p w:rsidR="003E36A4" w:rsidRDefault="003E36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367B1" w:rsidRDefault="000A2A8C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4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8C5430" w:rsidRPr="008C5430" w:rsidRDefault="000A2A8C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8C5430">
        <w:rPr>
          <w:color w:val="0D0D0D" w:themeColor="text1" w:themeTint="F2"/>
          <w:sz w:val="28"/>
          <w:szCs w:val="28"/>
        </w:rPr>
        <w:t xml:space="preserve">.1 ИНФОЛОГИЧЕСКОЕ ПРОЕКТИРОВАНИЕ ИНФОРМАЦИОННОЙ СИСТЕМЫ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 информационной системы регистрации прав на имущество включает в себя выбор системы управления базой, инфологическое, концептуальное и физическое 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«Сущность» – это объект, о котором в системе будет накапливаться информация. В реляционной модели данных под сущностями понимается отношение, представляющее собой двумерную таблицу.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«Техническая поддержка программного продукта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>
              <w:rPr>
                <w:sz w:val="28"/>
                <w:szCs w:val="28"/>
              </w:rPr>
              <w:t>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5C16B1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FA7D57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</w:t>
      </w:r>
      <w:r w:rsidR="00FA7D57">
        <w:rPr>
          <w:sz w:val="28"/>
          <w:szCs w:val="28"/>
        </w:rPr>
        <w:t>и</w:t>
      </w:r>
      <w:r w:rsidR="00FA7D57">
        <w:rPr>
          <w:sz w:val="28"/>
          <w:szCs w:val="28"/>
        </w:rPr>
        <w:t xml:space="preserve">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</w:tbl>
    <w:p w:rsidR="001A0955" w:rsidRPr="00EF2EFD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</w:t>
            </w:r>
            <w:r>
              <w:rPr>
                <w:sz w:val="28"/>
                <w:szCs w:val="28"/>
              </w:rPr>
              <w:t>конца жизни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 </w:t>
      </w:r>
      <w:r w:rsidRPr="00D62E7C">
        <w:rPr>
          <w:sz w:val="28"/>
          <w:szCs w:val="28"/>
        </w:rPr>
        <w:t>представлена диаграмма "Сущность-связь" в нотации IDEF1X.</w:t>
      </w:r>
    </w:p>
    <w:p w:rsidR="00E978C9" w:rsidRDefault="00E978C9" w:rsidP="00E978C9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D3DB" wp14:editId="70A861D5">
            <wp:extent cx="54859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496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>диаграмма "Сущность-связь" в нотации IDEF1X.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592BA4" w:rsidRDefault="00686E68" w:rsidP="003549C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9B38FE">
        <w:rPr>
          <w:sz w:val="28"/>
          <w:szCs w:val="28"/>
        </w:rPr>
        <w:t xml:space="preserve">.2 ВЫБОР ИНСТРУМЕНТАЛЬНЫХ СРЕДСТВ ДЛЯ РАЗРАБОТКИ ИНФОРМАЦИОННОЙ СИСТЕМЫ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lastRenderedPageBreak/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Pr="0000514E" w:rsidRDefault="00B00647" w:rsidP="007F0C9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proofErr w:type="gram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 ,</w:t>
      </w:r>
      <w:proofErr w:type="gram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  <w:bookmarkStart w:id="0" w:name="_GoBack"/>
      <w:bookmarkEnd w:id="0"/>
    </w:p>
    <w:sectPr w:rsidR="00B00647" w:rsidRPr="0000514E" w:rsidSect="00116474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F3" w:rsidRDefault="001F02F3" w:rsidP="00084D67">
      <w:pPr>
        <w:spacing w:after="0" w:line="240" w:lineRule="auto"/>
      </w:pPr>
      <w:r>
        <w:separator/>
      </w:r>
    </w:p>
  </w:endnote>
  <w:endnote w:type="continuationSeparator" w:id="0">
    <w:p w:rsidR="001F02F3" w:rsidRDefault="001F02F3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C94">
          <w:rPr>
            <w:noProof/>
          </w:rPr>
          <w:t>19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F3" w:rsidRDefault="001F02F3" w:rsidP="00084D67">
      <w:pPr>
        <w:spacing w:after="0" w:line="240" w:lineRule="auto"/>
      </w:pPr>
      <w:r>
        <w:separator/>
      </w:r>
    </w:p>
  </w:footnote>
  <w:footnote w:type="continuationSeparator" w:id="0">
    <w:p w:rsidR="001F02F3" w:rsidRDefault="001F02F3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514E"/>
    <w:rsid w:val="00006146"/>
    <w:rsid w:val="000073A1"/>
    <w:rsid w:val="00011268"/>
    <w:rsid w:val="000120E3"/>
    <w:rsid w:val="00022C2E"/>
    <w:rsid w:val="000252F6"/>
    <w:rsid w:val="00034621"/>
    <w:rsid w:val="00052847"/>
    <w:rsid w:val="0005400B"/>
    <w:rsid w:val="000602F9"/>
    <w:rsid w:val="00071BD5"/>
    <w:rsid w:val="0007565E"/>
    <w:rsid w:val="0008132C"/>
    <w:rsid w:val="00084D67"/>
    <w:rsid w:val="00091EF1"/>
    <w:rsid w:val="00092715"/>
    <w:rsid w:val="00093F31"/>
    <w:rsid w:val="000A2A8C"/>
    <w:rsid w:val="000A2F32"/>
    <w:rsid w:val="000A4266"/>
    <w:rsid w:val="000A69B0"/>
    <w:rsid w:val="000B138D"/>
    <w:rsid w:val="000B665E"/>
    <w:rsid w:val="000D0A51"/>
    <w:rsid w:val="000D17B4"/>
    <w:rsid w:val="000E0798"/>
    <w:rsid w:val="000E3B9F"/>
    <w:rsid w:val="000F2F40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6B12"/>
    <w:rsid w:val="00127358"/>
    <w:rsid w:val="001275A4"/>
    <w:rsid w:val="001277A2"/>
    <w:rsid w:val="00127C72"/>
    <w:rsid w:val="00136200"/>
    <w:rsid w:val="0014443F"/>
    <w:rsid w:val="001450AE"/>
    <w:rsid w:val="00153505"/>
    <w:rsid w:val="001535F3"/>
    <w:rsid w:val="00157EC3"/>
    <w:rsid w:val="001618F4"/>
    <w:rsid w:val="00165674"/>
    <w:rsid w:val="00165682"/>
    <w:rsid w:val="001672DD"/>
    <w:rsid w:val="00172F4C"/>
    <w:rsid w:val="0017346B"/>
    <w:rsid w:val="001766D8"/>
    <w:rsid w:val="00190533"/>
    <w:rsid w:val="00192906"/>
    <w:rsid w:val="00192DD8"/>
    <w:rsid w:val="00194DDE"/>
    <w:rsid w:val="001959EC"/>
    <w:rsid w:val="001A0955"/>
    <w:rsid w:val="001A390C"/>
    <w:rsid w:val="001A4076"/>
    <w:rsid w:val="001A493E"/>
    <w:rsid w:val="001B44A7"/>
    <w:rsid w:val="001B48A2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635D"/>
    <w:rsid w:val="00201C50"/>
    <w:rsid w:val="0020203F"/>
    <w:rsid w:val="002167A7"/>
    <w:rsid w:val="002175D4"/>
    <w:rsid w:val="00220DF0"/>
    <w:rsid w:val="0022265C"/>
    <w:rsid w:val="0023223F"/>
    <w:rsid w:val="00232714"/>
    <w:rsid w:val="0023458F"/>
    <w:rsid w:val="00234DE6"/>
    <w:rsid w:val="00243470"/>
    <w:rsid w:val="002474E5"/>
    <w:rsid w:val="002527A5"/>
    <w:rsid w:val="00253007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5566"/>
    <w:rsid w:val="002B088B"/>
    <w:rsid w:val="002B2D74"/>
    <w:rsid w:val="002C7391"/>
    <w:rsid w:val="002D06AA"/>
    <w:rsid w:val="002D0FE8"/>
    <w:rsid w:val="002D362B"/>
    <w:rsid w:val="002D3F19"/>
    <w:rsid w:val="002E129C"/>
    <w:rsid w:val="002E3F4D"/>
    <w:rsid w:val="002E4E25"/>
    <w:rsid w:val="002E5426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73BE"/>
    <w:rsid w:val="00317D92"/>
    <w:rsid w:val="00323893"/>
    <w:rsid w:val="00330D8A"/>
    <w:rsid w:val="0033208F"/>
    <w:rsid w:val="003346D6"/>
    <w:rsid w:val="003356CF"/>
    <w:rsid w:val="0034392C"/>
    <w:rsid w:val="003503BA"/>
    <w:rsid w:val="003549C1"/>
    <w:rsid w:val="0035728F"/>
    <w:rsid w:val="003614B7"/>
    <w:rsid w:val="0037072C"/>
    <w:rsid w:val="00376DF5"/>
    <w:rsid w:val="00381A39"/>
    <w:rsid w:val="003834F6"/>
    <w:rsid w:val="003847D5"/>
    <w:rsid w:val="00384E57"/>
    <w:rsid w:val="003922EF"/>
    <w:rsid w:val="00393D6E"/>
    <w:rsid w:val="003963D0"/>
    <w:rsid w:val="003A01EF"/>
    <w:rsid w:val="003A0AC0"/>
    <w:rsid w:val="003A2FE7"/>
    <w:rsid w:val="003A58E5"/>
    <w:rsid w:val="003B31CE"/>
    <w:rsid w:val="003B34BE"/>
    <w:rsid w:val="003B61D0"/>
    <w:rsid w:val="003B6A02"/>
    <w:rsid w:val="003B70A8"/>
    <w:rsid w:val="003C413D"/>
    <w:rsid w:val="003D03BA"/>
    <w:rsid w:val="003D10C2"/>
    <w:rsid w:val="003D47D4"/>
    <w:rsid w:val="003D559D"/>
    <w:rsid w:val="003D5FEC"/>
    <w:rsid w:val="003D7CE6"/>
    <w:rsid w:val="003E36A4"/>
    <w:rsid w:val="003F232B"/>
    <w:rsid w:val="003F306A"/>
    <w:rsid w:val="00400481"/>
    <w:rsid w:val="00404894"/>
    <w:rsid w:val="00404B1F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735B"/>
    <w:rsid w:val="0048363E"/>
    <w:rsid w:val="00483F94"/>
    <w:rsid w:val="00484FC5"/>
    <w:rsid w:val="004A02FE"/>
    <w:rsid w:val="004A0BCD"/>
    <w:rsid w:val="004A75C8"/>
    <w:rsid w:val="004B3380"/>
    <w:rsid w:val="004B3901"/>
    <w:rsid w:val="004B486B"/>
    <w:rsid w:val="004C35F7"/>
    <w:rsid w:val="004C51DD"/>
    <w:rsid w:val="004D4135"/>
    <w:rsid w:val="004D78C5"/>
    <w:rsid w:val="004E002C"/>
    <w:rsid w:val="004E1806"/>
    <w:rsid w:val="004E4829"/>
    <w:rsid w:val="004E4FE1"/>
    <w:rsid w:val="004E629E"/>
    <w:rsid w:val="004F3EED"/>
    <w:rsid w:val="0050287B"/>
    <w:rsid w:val="00502D0B"/>
    <w:rsid w:val="005065C8"/>
    <w:rsid w:val="00506AB0"/>
    <w:rsid w:val="00510D43"/>
    <w:rsid w:val="005116D3"/>
    <w:rsid w:val="005172C5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51832"/>
    <w:rsid w:val="00552C20"/>
    <w:rsid w:val="00554685"/>
    <w:rsid w:val="00560E97"/>
    <w:rsid w:val="00570D29"/>
    <w:rsid w:val="005727BC"/>
    <w:rsid w:val="0057469D"/>
    <w:rsid w:val="00582F39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592"/>
    <w:rsid w:val="005B516F"/>
    <w:rsid w:val="005C16B1"/>
    <w:rsid w:val="005C2021"/>
    <w:rsid w:val="005D29DF"/>
    <w:rsid w:val="005D3517"/>
    <w:rsid w:val="005D3932"/>
    <w:rsid w:val="005D44E8"/>
    <w:rsid w:val="005D6362"/>
    <w:rsid w:val="005D7181"/>
    <w:rsid w:val="005E143F"/>
    <w:rsid w:val="005E4412"/>
    <w:rsid w:val="005E48B4"/>
    <w:rsid w:val="005E4F45"/>
    <w:rsid w:val="005E517A"/>
    <w:rsid w:val="005E7C9E"/>
    <w:rsid w:val="005F19AE"/>
    <w:rsid w:val="005F231B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50087"/>
    <w:rsid w:val="00656624"/>
    <w:rsid w:val="00657842"/>
    <w:rsid w:val="00657E35"/>
    <w:rsid w:val="0066001A"/>
    <w:rsid w:val="00662B94"/>
    <w:rsid w:val="0066513D"/>
    <w:rsid w:val="006656DA"/>
    <w:rsid w:val="0067283B"/>
    <w:rsid w:val="006747A8"/>
    <w:rsid w:val="00676D4A"/>
    <w:rsid w:val="00683728"/>
    <w:rsid w:val="00686E1F"/>
    <w:rsid w:val="00686E68"/>
    <w:rsid w:val="00687FAC"/>
    <w:rsid w:val="006918E2"/>
    <w:rsid w:val="00691A66"/>
    <w:rsid w:val="006937E7"/>
    <w:rsid w:val="006A50AF"/>
    <w:rsid w:val="006A5B05"/>
    <w:rsid w:val="006B342B"/>
    <w:rsid w:val="006C0AC4"/>
    <w:rsid w:val="006C170B"/>
    <w:rsid w:val="006C72B3"/>
    <w:rsid w:val="006E09D3"/>
    <w:rsid w:val="006E4310"/>
    <w:rsid w:val="006E56F9"/>
    <w:rsid w:val="006F1FF8"/>
    <w:rsid w:val="0070027A"/>
    <w:rsid w:val="00702309"/>
    <w:rsid w:val="00702D8F"/>
    <w:rsid w:val="007126DC"/>
    <w:rsid w:val="00713529"/>
    <w:rsid w:val="00713B45"/>
    <w:rsid w:val="00716C36"/>
    <w:rsid w:val="00723AA7"/>
    <w:rsid w:val="00725E05"/>
    <w:rsid w:val="00730DCF"/>
    <w:rsid w:val="00733775"/>
    <w:rsid w:val="00740121"/>
    <w:rsid w:val="0074112C"/>
    <w:rsid w:val="007412BF"/>
    <w:rsid w:val="007523D8"/>
    <w:rsid w:val="007542B9"/>
    <w:rsid w:val="007567B6"/>
    <w:rsid w:val="00756EFC"/>
    <w:rsid w:val="007572D5"/>
    <w:rsid w:val="007627CE"/>
    <w:rsid w:val="00763948"/>
    <w:rsid w:val="00765564"/>
    <w:rsid w:val="00770865"/>
    <w:rsid w:val="00770FD4"/>
    <w:rsid w:val="0077244E"/>
    <w:rsid w:val="0077446E"/>
    <w:rsid w:val="0077466A"/>
    <w:rsid w:val="0077490A"/>
    <w:rsid w:val="00777C3F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C5B92"/>
    <w:rsid w:val="007C5D20"/>
    <w:rsid w:val="007D00D3"/>
    <w:rsid w:val="007D4399"/>
    <w:rsid w:val="007D6307"/>
    <w:rsid w:val="007D66DC"/>
    <w:rsid w:val="007E4211"/>
    <w:rsid w:val="007E6549"/>
    <w:rsid w:val="007F00C0"/>
    <w:rsid w:val="007F0C94"/>
    <w:rsid w:val="007F0F8D"/>
    <w:rsid w:val="007F367D"/>
    <w:rsid w:val="00801717"/>
    <w:rsid w:val="00801E7E"/>
    <w:rsid w:val="00803066"/>
    <w:rsid w:val="00804878"/>
    <w:rsid w:val="00806656"/>
    <w:rsid w:val="008136DB"/>
    <w:rsid w:val="00815082"/>
    <w:rsid w:val="00821B8C"/>
    <w:rsid w:val="008311C3"/>
    <w:rsid w:val="008344F0"/>
    <w:rsid w:val="0083742B"/>
    <w:rsid w:val="00850545"/>
    <w:rsid w:val="00852474"/>
    <w:rsid w:val="0085342A"/>
    <w:rsid w:val="00853D82"/>
    <w:rsid w:val="00856864"/>
    <w:rsid w:val="0085705F"/>
    <w:rsid w:val="00862259"/>
    <w:rsid w:val="00862CEA"/>
    <w:rsid w:val="008634C1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74C5"/>
    <w:rsid w:val="008A36AE"/>
    <w:rsid w:val="008A4B27"/>
    <w:rsid w:val="008B109C"/>
    <w:rsid w:val="008B3429"/>
    <w:rsid w:val="008B7E32"/>
    <w:rsid w:val="008C0CC2"/>
    <w:rsid w:val="008C1288"/>
    <w:rsid w:val="008C5430"/>
    <w:rsid w:val="008C571E"/>
    <w:rsid w:val="008C5E9D"/>
    <w:rsid w:val="008C6A90"/>
    <w:rsid w:val="008C7E33"/>
    <w:rsid w:val="008D2B73"/>
    <w:rsid w:val="008E0866"/>
    <w:rsid w:val="008E278D"/>
    <w:rsid w:val="00904B04"/>
    <w:rsid w:val="00905A85"/>
    <w:rsid w:val="00910670"/>
    <w:rsid w:val="00915722"/>
    <w:rsid w:val="00917EA0"/>
    <w:rsid w:val="009202F8"/>
    <w:rsid w:val="00927DA5"/>
    <w:rsid w:val="00931C52"/>
    <w:rsid w:val="00934AFC"/>
    <w:rsid w:val="00946A03"/>
    <w:rsid w:val="00947D26"/>
    <w:rsid w:val="009505DC"/>
    <w:rsid w:val="0095310B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901E3"/>
    <w:rsid w:val="009902F6"/>
    <w:rsid w:val="0099453F"/>
    <w:rsid w:val="00996EBD"/>
    <w:rsid w:val="009A7EF1"/>
    <w:rsid w:val="009B38FE"/>
    <w:rsid w:val="009B48D4"/>
    <w:rsid w:val="009C1BAA"/>
    <w:rsid w:val="009C7343"/>
    <w:rsid w:val="009D75CB"/>
    <w:rsid w:val="009F1E37"/>
    <w:rsid w:val="009F2B01"/>
    <w:rsid w:val="009F5128"/>
    <w:rsid w:val="009F5C56"/>
    <w:rsid w:val="00A006A1"/>
    <w:rsid w:val="00A060B5"/>
    <w:rsid w:val="00A07C8A"/>
    <w:rsid w:val="00A07D23"/>
    <w:rsid w:val="00A14119"/>
    <w:rsid w:val="00A14702"/>
    <w:rsid w:val="00A22DCE"/>
    <w:rsid w:val="00A2386F"/>
    <w:rsid w:val="00A25EC9"/>
    <w:rsid w:val="00A3307C"/>
    <w:rsid w:val="00A345E8"/>
    <w:rsid w:val="00A3752C"/>
    <w:rsid w:val="00A4191B"/>
    <w:rsid w:val="00A43022"/>
    <w:rsid w:val="00A47F60"/>
    <w:rsid w:val="00A55065"/>
    <w:rsid w:val="00A570B6"/>
    <w:rsid w:val="00A6132F"/>
    <w:rsid w:val="00A627AA"/>
    <w:rsid w:val="00A72C43"/>
    <w:rsid w:val="00A75714"/>
    <w:rsid w:val="00A81185"/>
    <w:rsid w:val="00A83D78"/>
    <w:rsid w:val="00A925F3"/>
    <w:rsid w:val="00A926DA"/>
    <w:rsid w:val="00A93579"/>
    <w:rsid w:val="00AA2089"/>
    <w:rsid w:val="00AA6DEB"/>
    <w:rsid w:val="00AC0069"/>
    <w:rsid w:val="00AC5C1B"/>
    <w:rsid w:val="00AD17A5"/>
    <w:rsid w:val="00AD59AC"/>
    <w:rsid w:val="00AD5DA8"/>
    <w:rsid w:val="00AD7949"/>
    <w:rsid w:val="00AD7DDA"/>
    <w:rsid w:val="00AE0388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50FCB"/>
    <w:rsid w:val="00B5499C"/>
    <w:rsid w:val="00B66E18"/>
    <w:rsid w:val="00B67804"/>
    <w:rsid w:val="00B701D5"/>
    <w:rsid w:val="00B810F6"/>
    <w:rsid w:val="00B96615"/>
    <w:rsid w:val="00BA3AA7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C05171"/>
    <w:rsid w:val="00C063E8"/>
    <w:rsid w:val="00C106AC"/>
    <w:rsid w:val="00C137F3"/>
    <w:rsid w:val="00C16097"/>
    <w:rsid w:val="00C17430"/>
    <w:rsid w:val="00C20445"/>
    <w:rsid w:val="00C205B7"/>
    <w:rsid w:val="00C22C19"/>
    <w:rsid w:val="00C3686A"/>
    <w:rsid w:val="00C41DE1"/>
    <w:rsid w:val="00C43793"/>
    <w:rsid w:val="00C5434C"/>
    <w:rsid w:val="00C5486F"/>
    <w:rsid w:val="00C6276D"/>
    <w:rsid w:val="00C62C77"/>
    <w:rsid w:val="00C64514"/>
    <w:rsid w:val="00C67EA2"/>
    <w:rsid w:val="00C761E0"/>
    <w:rsid w:val="00C7759B"/>
    <w:rsid w:val="00C84EE5"/>
    <w:rsid w:val="00C851E8"/>
    <w:rsid w:val="00C8653C"/>
    <w:rsid w:val="00C91648"/>
    <w:rsid w:val="00C95ACB"/>
    <w:rsid w:val="00CA10A2"/>
    <w:rsid w:val="00CA183B"/>
    <w:rsid w:val="00CB3074"/>
    <w:rsid w:val="00CB30C1"/>
    <w:rsid w:val="00CB4650"/>
    <w:rsid w:val="00CB6463"/>
    <w:rsid w:val="00CC1BFE"/>
    <w:rsid w:val="00CC4CE7"/>
    <w:rsid w:val="00CD2594"/>
    <w:rsid w:val="00CD3417"/>
    <w:rsid w:val="00CD5E01"/>
    <w:rsid w:val="00CD6FFC"/>
    <w:rsid w:val="00CD7BEB"/>
    <w:rsid w:val="00CE17CE"/>
    <w:rsid w:val="00CE31B9"/>
    <w:rsid w:val="00CE59F2"/>
    <w:rsid w:val="00CE6854"/>
    <w:rsid w:val="00CE6D53"/>
    <w:rsid w:val="00CF750B"/>
    <w:rsid w:val="00CF76B6"/>
    <w:rsid w:val="00D03F20"/>
    <w:rsid w:val="00D053A4"/>
    <w:rsid w:val="00D074FE"/>
    <w:rsid w:val="00D22A2F"/>
    <w:rsid w:val="00D239CB"/>
    <w:rsid w:val="00D34195"/>
    <w:rsid w:val="00D367B1"/>
    <w:rsid w:val="00D40557"/>
    <w:rsid w:val="00D46D3C"/>
    <w:rsid w:val="00D520B1"/>
    <w:rsid w:val="00D54C29"/>
    <w:rsid w:val="00D5637D"/>
    <w:rsid w:val="00D62E7C"/>
    <w:rsid w:val="00D66CC7"/>
    <w:rsid w:val="00D67724"/>
    <w:rsid w:val="00D701FE"/>
    <w:rsid w:val="00D70C99"/>
    <w:rsid w:val="00D71676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3D3E"/>
    <w:rsid w:val="00DC69CD"/>
    <w:rsid w:val="00DC7298"/>
    <w:rsid w:val="00DD160B"/>
    <w:rsid w:val="00DD24EE"/>
    <w:rsid w:val="00DD2F7B"/>
    <w:rsid w:val="00DD4C6D"/>
    <w:rsid w:val="00DE08F9"/>
    <w:rsid w:val="00DE45F8"/>
    <w:rsid w:val="00DF4764"/>
    <w:rsid w:val="00E00A65"/>
    <w:rsid w:val="00E12887"/>
    <w:rsid w:val="00E2498E"/>
    <w:rsid w:val="00E25670"/>
    <w:rsid w:val="00E37FC7"/>
    <w:rsid w:val="00E44586"/>
    <w:rsid w:val="00E45771"/>
    <w:rsid w:val="00E510B5"/>
    <w:rsid w:val="00E52E38"/>
    <w:rsid w:val="00E54956"/>
    <w:rsid w:val="00E55629"/>
    <w:rsid w:val="00E56003"/>
    <w:rsid w:val="00E64365"/>
    <w:rsid w:val="00E66FD1"/>
    <w:rsid w:val="00E67D5B"/>
    <w:rsid w:val="00E72D68"/>
    <w:rsid w:val="00E7396B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5EBF"/>
    <w:rsid w:val="00EB65A5"/>
    <w:rsid w:val="00ED0A6C"/>
    <w:rsid w:val="00ED74C6"/>
    <w:rsid w:val="00ED7541"/>
    <w:rsid w:val="00EE3110"/>
    <w:rsid w:val="00EF2EFD"/>
    <w:rsid w:val="00F01498"/>
    <w:rsid w:val="00F041F2"/>
    <w:rsid w:val="00F04399"/>
    <w:rsid w:val="00F07147"/>
    <w:rsid w:val="00F136E6"/>
    <w:rsid w:val="00F20648"/>
    <w:rsid w:val="00F24DA0"/>
    <w:rsid w:val="00F27CB4"/>
    <w:rsid w:val="00F5257F"/>
    <w:rsid w:val="00F55998"/>
    <w:rsid w:val="00F572BA"/>
    <w:rsid w:val="00F67E6B"/>
    <w:rsid w:val="00F67E75"/>
    <w:rsid w:val="00F67E8C"/>
    <w:rsid w:val="00F81306"/>
    <w:rsid w:val="00F81DF2"/>
    <w:rsid w:val="00F861CE"/>
    <w:rsid w:val="00F87485"/>
    <w:rsid w:val="00F91FB9"/>
    <w:rsid w:val="00F929AB"/>
    <w:rsid w:val="00F939FA"/>
    <w:rsid w:val="00F97BAE"/>
    <w:rsid w:val="00FA0F8C"/>
    <w:rsid w:val="00FA25C7"/>
    <w:rsid w:val="00FA7664"/>
    <w:rsid w:val="00FA7D57"/>
    <w:rsid w:val="00FB23C9"/>
    <w:rsid w:val="00FB4627"/>
    <w:rsid w:val="00FB6572"/>
    <w:rsid w:val="00FC6DC5"/>
    <w:rsid w:val="00FC7CDD"/>
    <w:rsid w:val="00FD18A7"/>
    <w:rsid w:val="00FE033A"/>
    <w:rsid w:val="00FE0F44"/>
    <w:rsid w:val="00FE4E6C"/>
    <w:rsid w:val="00FE68EB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61E0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A278-B87D-45A7-8E23-D242CF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694</cp:revision>
  <dcterms:created xsi:type="dcterms:W3CDTF">2024-04-02T14:44:00Z</dcterms:created>
  <dcterms:modified xsi:type="dcterms:W3CDTF">2024-05-28T17:07:00Z</dcterms:modified>
</cp:coreProperties>
</file>