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D2" w:rsidRDefault="00DA7CD0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1 Анализ </w:t>
      </w:r>
      <w:r w:rsidR="0070027A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36F27">
        <w:rPr>
          <w:rFonts w:ascii="Times New Roman" w:hAnsi="Times New Roman" w:cs="Times New Roman"/>
          <w:sz w:val="28"/>
          <w:szCs w:val="28"/>
        </w:rPr>
        <w:t>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153505" w:rsidRPr="00536F27" w:rsidRDefault="00153505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Default="00A2386F" w:rsidP="001C30B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6A0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281155">
        <w:rPr>
          <w:rFonts w:ascii="Times New Roman" w:hAnsi="Times New Roman" w:cs="Times New Roman"/>
          <w:sz w:val="28"/>
          <w:szCs w:val="28"/>
        </w:rPr>
        <w:t>программно-аппаратного обеспечения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и </w:t>
      </w:r>
      <w:r w:rsidR="00D9097C">
        <w:rPr>
          <w:rFonts w:ascii="Times New Roman" w:hAnsi="Times New Roman" w:cs="Times New Roman"/>
          <w:sz w:val="28"/>
          <w:szCs w:val="28"/>
        </w:rPr>
        <w:t>СО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</w:t>
      </w:r>
      <w:r w:rsidR="003B6A02" w:rsidRPr="00FE033A">
        <w:rPr>
          <w:rFonts w:ascii="Times New Roman" w:hAnsi="Times New Roman" w:cs="Times New Roman"/>
          <w:sz w:val="28"/>
          <w:szCs w:val="28"/>
        </w:rPr>
        <w:t>ООО «</w:t>
      </w:r>
      <w:r w:rsidR="003B6A02">
        <w:rPr>
          <w:rFonts w:ascii="Times New Roman" w:hAnsi="Times New Roman" w:cs="Times New Roman"/>
          <w:sz w:val="28"/>
          <w:szCs w:val="28"/>
        </w:rPr>
        <w:t>ИМЦ</w:t>
      </w:r>
      <w:r w:rsidR="003B6A02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1C30B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1C30B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3B6A02" w:rsidP="001C30B4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5082">
        <w:rPr>
          <w:rFonts w:ascii="Times New Roman" w:hAnsi="Times New Roman" w:cs="Times New Roman"/>
          <w:sz w:val="28"/>
          <w:szCs w:val="28"/>
        </w:rPr>
        <w:t xml:space="preserve">ПК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3B6A02" w:rsidP="001C30B4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8B1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1C30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3B6A02" w:rsidRPr="005E4F45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1C30B4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1C30B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Default="003A0AC0" w:rsidP="001C30B4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3A0AC0">
        <w:rPr>
          <w:rFonts w:ascii="Times New Roman" w:hAnsi="Times New Roman" w:cs="Times New Roman"/>
          <w:sz w:val="28"/>
          <w:szCs w:val="28"/>
        </w:rPr>
        <w:t>Разработка</w:t>
      </w:r>
      <w:r w:rsidR="00FB4627" w:rsidRPr="00FB4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4627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структурных </w:t>
      </w:r>
      <w:r w:rsidR="00EB5EBF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="00EB5EBF" w:rsidRPr="003A0AC0">
        <w:rPr>
          <w:rFonts w:ascii="Times New Roman" w:hAnsi="Times New Roman" w:cs="Times New Roman"/>
          <w:sz w:val="28"/>
          <w:szCs w:val="28"/>
        </w:rPr>
        <w:t xml:space="preserve"> </w:t>
      </w:r>
      <w:r w:rsidR="00EB5EBF">
        <w:rPr>
          <w:rFonts w:ascii="Times New Roman" w:hAnsi="Times New Roman" w:cs="Times New Roman"/>
          <w:sz w:val="28"/>
          <w:szCs w:val="28"/>
        </w:rPr>
        <w:t>и</w:t>
      </w:r>
      <w:r w:rsidR="00FB4627">
        <w:rPr>
          <w:rFonts w:ascii="Times New Roman" w:hAnsi="Times New Roman" w:cs="Times New Roman"/>
          <w:sz w:val="28"/>
          <w:szCs w:val="28"/>
        </w:rPr>
        <w:t xml:space="preserve"> </w:t>
      </w:r>
      <w:r w:rsidRPr="003A0AC0">
        <w:rPr>
          <w:rFonts w:ascii="Times New Roman" w:hAnsi="Times New Roman" w:cs="Times New Roman"/>
          <w:sz w:val="28"/>
          <w:szCs w:val="28"/>
        </w:rPr>
        <w:t>функциональных моделей процессов деяте</w:t>
      </w:r>
      <w:r w:rsidR="00713B45">
        <w:rPr>
          <w:rFonts w:ascii="Times New Roman" w:hAnsi="Times New Roman" w:cs="Times New Roman"/>
          <w:sz w:val="28"/>
          <w:szCs w:val="28"/>
        </w:rPr>
        <w:t>льности организации ООО «ИМЦ</w:t>
      </w:r>
      <w:r w:rsidRPr="003A0AC0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1648" w:rsidRDefault="00C91648" w:rsidP="00C9164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«ИМЦ» занимается</w:t>
      </w:r>
      <w:r w:rsidRPr="003A0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С помощью методологии IDEF0 будет проведено моделирование процесса «</w:t>
      </w:r>
      <w:r w:rsidR="00D239CB">
        <w:rPr>
          <w:rFonts w:ascii="Times New Roman" w:hAnsi="Times New Roman" w:cs="Times New Roman"/>
          <w:sz w:val="28"/>
          <w:szCs w:val="28"/>
        </w:rPr>
        <w:t xml:space="preserve">Техническая поддержка программного </w:t>
      </w:r>
      <w:r w:rsidR="001E30E1">
        <w:rPr>
          <w:rFonts w:ascii="Times New Roman" w:hAnsi="Times New Roman" w:cs="Times New Roman"/>
          <w:sz w:val="28"/>
          <w:szCs w:val="28"/>
        </w:rPr>
        <w:t>продукта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202F8">
        <w:rPr>
          <w:rFonts w:ascii="Times New Roman" w:hAnsi="Times New Roman" w:cs="Times New Roman"/>
          <w:sz w:val="28"/>
          <w:szCs w:val="28"/>
        </w:rPr>
        <w:t>ИМЦ</w:t>
      </w:r>
      <w:r w:rsidR="00570D29" w:rsidRPr="00570D29">
        <w:rPr>
          <w:rFonts w:ascii="Times New Roman" w:hAnsi="Times New Roman" w:cs="Times New Roman"/>
          <w:sz w:val="28"/>
          <w:szCs w:val="28"/>
        </w:rPr>
        <w:t>».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IDEF0 реализует методику функционального моделирования сложных систем. Функциональная модель IDEF0 отображает функциональную </w:t>
      </w:r>
      <w:r w:rsidRPr="00E45771">
        <w:rPr>
          <w:rFonts w:ascii="Times New Roman" w:hAnsi="Times New Roman" w:cs="Times New Roman"/>
          <w:sz w:val="28"/>
          <w:szCs w:val="28"/>
        </w:rPr>
        <w:lastRenderedPageBreak/>
        <w:t>структуру объекта, производимые им действия и связи между этими действиями.</w:t>
      </w:r>
    </w:p>
    <w:p w:rsid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4C35F7" w:rsidRDefault="00AD59AC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5667375" cy="2904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625" cy="29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,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980154" w:rsidRDefault="00910670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790C4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«Техническая поддержка программного продукта ООО «ИМЦ»</w:t>
      </w:r>
      <w:r w:rsidR="00192DD8">
        <w:rPr>
          <w:rFonts w:ascii="Times New Roman" w:hAnsi="Times New Roman" w:cs="Times New Roman"/>
          <w:sz w:val="28"/>
          <w:szCs w:val="28"/>
        </w:rPr>
        <w:t>.</w:t>
      </w:r>
    </w:p>
    <w:p w:rsidR="00535FB2" w:rsidRDefault="00192DD8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5C2021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5E4412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AD5DA8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306334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5B12D4" w:rsidP="00C5434C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информационно-справочного ресурса для маркетинга товаров предприятия ООО «ЛВ-АВТО» представлена на рисунке </w:t>
      </w:r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4790364" cy="2993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144" cy="29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4 -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BC2AAF"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lastRenderedPageBreak/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77244E" w:rsidRPr="0077244E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  <w:r w:rsidR="00636EF8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Pr="007412BF">
        <w:rPr>
          <w:color w:val="0D0D0D" w:themeColor="text1" w:themeTint="F2"/>
          <w:sz w:val="28"/>
          <w:szCs w:val="28"/>
        </w:rPr>
        <w:t>5.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CD259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C72B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3E36A4" w:rsidRDefault="005D29DF" w:rsidP="005D29DF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</w:p>
    <w:p w:rsidR="003E36A4" w:rsidRDefault="003E36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367B1" w:rsidRDefault="003E36A4" w:rsidP="0031208A">
      <w:pPr>
        <w:pStyle w:val="a7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4 </w:t>
      </w:r>
      <w:r w:rsidR="00603559" w:rsidRPr="00603559">
        <w:rPr>
          <w:color w:val="0D0D0D" w:themeColor="text1" w:themeTint="F2"/>
          <w:sz w:val="28"/>
          <w:szCs w:val="28"/>
        </w:rPr>
        <w:t xml:space="preserve">Проектирование информационной </w:t>
      </w:r>
      <w:r w:rsidR="00D71676" w:rsidRPr="00603559">
        <w:rPr>
          <w:color w:val="0D0D0D" w:themeColor="text1" w:themeTint="F2"/>
          <w:sz w:val="28"/>
          <w:szCs w:val="28"/>
        </w:rPr>
        <w:t>системы</w:t>
      </w:r>
      <w:r w:rsidR="006E09D3">
        <w:rPr>
          <w:color w:val="0D0D0D" w:themeColor="text1" w:themeTint="F2"/>
          <w:sz w:val="28"/>
          <w:szCs w:val="28"/>
        </w:rPr>
        <w:t xml:space="preserve"> </w:t>
      </w:r>
      <w:r w:rsidR="00D71676" w:rsidRPr="00BC2AAF">
        <w:rPr>
          <w:color w:val="0D0D0D" w:themeColor="text1" w:themeTint="F2"/>
          <w:sz w:val="28"/>
          <w:szCs w:val="28"/>
        </w:rPr>
        <w:t>«</w:t>
      </w:r>
      <w:r w:rsidR="00D71676">
        <w:rPr>
          <w:color w:val="0D0D0D" w:themeColor="text1" w:themeTint="F2"/>
          <w:sz w:val="28"/>
          <w:szCs w:val="28"/>
        </w:rPr>
        <w:t>Техническая</w:t>
      </w:r>
      <w:r w:rsidR="00D367B1"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8C5430" w:rsidRPr="008C5430" w:rsidRDefault="008C5430" w:rsidP="00716C36">
      <w:pPr>
        <w:pStyle w:val="a7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4</w:t>
      </w:r>
      <w:r w:rsidRPr="008C5430">
        <w:rPr>
          <w:color w:val="0D0D0D" w:themeColor="text1" w:themeTint="F2"/>
          <w:sz w:val="28"/>
          <w:szCs w:val="28"/>
        </w:rPr>
        <w:t xml:space="preserve">.1 Инфологическое проектирование информационной системы </w:t>
      </w:r>
      <w:r w:rsidR="001E17E3" w:rsidRPr="00BC2AAF">
        <w:rPr>
          <w:color w:val="0D0D0D" w:themeColor="text1" w:themeTint="F2"/>
          <w:sz w:val="28"/>
          <w:szCs w:val="28"/>
        </w:rPr>
        <w:t>«</w:t>
      </w:r>
      <w:r w:rsidR="001E17E3">
        <w:rPr>
          <w:color w:val="0D0D0D" w:themeColor="text1" w:themeTint="F2"/>
          <w:sz w:val="28"/>
          <w:szCs w:val="28"/>
        </w:rPr>
        <w:t>Техническая</w:t>
      </w:r>
      <w:r w:rsidR="001E17E3"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>Процесс проектирования информационной системы регистрации прав на имущество включает в себя выбор системы управления базой, инфологическое, концептуальное и физическое 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770FD4" w:rsidRDefault="00CE17CE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«Сущность» – это объект, о котором в системе будет накапливаться информация. В реляционной модели данных под сущностями понимается отношение, представляющее собой двумерную таблицу.</w:t>
      </w:r>
    </w:p>
    <w:p w:rsidR="00022C2E" w:rsidRDefault="002D3F19" w:rsidP="00165682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«Техническая поддержка программного продукта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EE3110" w:rsidRPr="00B259BA" w:rsidRDefault="00DD2F7B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пользователь</w:t>
      </w:r>
      <w:r w:rsidR="00B259BA">
        <w:rPr>
          <w:sz w:val="28"/>
          <w:szCs w:val="28"/>
          <w:lang w:val="en-US"/>
        </w:rPr>
        <w:t>;</w:t>
      </w:r>
    </w:p>
    <w:p w:rsid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сущность задача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категория задачи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</w:t>
      </w:r>
      <w:r w:rsidR="00B259BA">
        <w:rPr>
          <w:sz w:val="28"/>
          <w:szCs w:val="28"/>
          <w:lang w:val="en-US"/>
        </w:rPr>
        <w:t>;</w:t>
      </w:r>
    </w:p>
    <w:p w:rsidR="00B259BA" w:rsidRPr="00B259BA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 пользователя</w:t>
      </w:r>
      <w:r w:rsidR="00B259BA">
        <w:rPr>
          <w:sz w:val="28"/>
          <w:szCs w:val="28"/>
          <w:lang w:val="en-US"/>
        </w:rPr>
        <w:t>;</w:t>
      </w:r>
    </w:p>
    <w:p w:rsidR="00B259BA" w:rsidRPr="003F232B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proofErr w:type="spellStart"/>
      <w:r w:rsidR="003F232B">
        <w:rPr>
          <w:sz w:val="28"/>
          <w:szCs w:val="28"/>
        </w:rPr>
        <w:t>токен</w:t>
      </w:r>
      <w:proofErr w:type="spellEnd"/>
      <w:r w:rsidR="003F232B">
        <w:rPr>
          <w:sz w:val="28"/>
          <w:szCs w:val="28"/>
          <w:lang w:val="en-US"/>
        </w:rPr>
        <w:t>;</w:t>
      </w:r>
    </w:p>
    <w:p w:rsidR="003F232B" w:rsidRDefault="00D701FE" w:rsidP="00165682">
      <w:pPr>
        <w:pStyle w:val="a7"/>
        <w:numPr>
          <w:ilvl w:val="0"/>
          <w:numId w:val="15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3F232B">
        <w:rPr>
          <w:sz w:val="28"/>
          <w:szCs w:val="28"/>
        </w:rPr>
        <w:t>история задач.</w:t>
      </w:r>
    </w:p>
    <w:p w:rsidR="003963D0" w:rsidRDefault="00472D5A" w:rsidP="00472D5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472D5A">
        <w:rPr>
          <w:sz w:val="28"/>
          <w:szCs w:val="28"/>
        </w:rPr>
        <w:lastRenderedPageBreak/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4C51DD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4C51DD" w:rsidRDefault="004C51DD" w:rsidP="004C51DD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4C51DD">
        <w:rPr>
          <w:sz w:val="28"/>
          <w:szCs w:val="28"/>
        </w:rPr>
        <w:t>Нормализация базы данных сводит к минимуму количество избыточной информации. Целью нормализации является сохранить данные только о</w:t>
      </w:r>
      <w:r>
        <w:rPr>
          <w:sz w:val="28"/>
          <w:szCs w:val="28"/>
        </w:rPr>
        <w:t>дин раз, но в нужном месте.</w:t>
      </w:r>
    </w:p>
    <w:p w:rsidR="00D62E7C" w:rsidRDefault="00D62E7C" w:rsidP="004C51DD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D62E7C" w:rsidRDefault="00D62E7C" w:rsidP="004C51DD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D62E7C">
        <w:rPr>
          <w:sz w:val="28"/>
          <w:szCs w:val="28"/>
        </w:rPr>
        <w:t xml:space="preserve">На рисунке </w:t>
      </w:r>
      <w:r w:rsidR="00AC0069">
        <w:rPr>
          <w:sz w:val="28"/>
          <w:szCs w:val="28"/>
        </w:rPr>
        <w:t xml:space="preserve">6 </w:t>
      </w:r>
      <w:r w:rsidR="00AC0069" w:rsidRPr="00D62E7C">
        <w:rPr>
          <w:sz w:val="28"/>
          <w:szCs w:val="28"/>
        </w:rPr>
        <w:t>представлена</w:t>
      </w:r>
      <w:r w:rsidRPr="00D62E7C">
        <w:rPr>
          <w:sz w:val="28"/>
          <w:szCs w:val="28"/>
        </w:rPr>
        <w:t xml:space="preserve"> диаграмма "Сущность-связь" в нотации IDEF1X.</w:t>
      </w:r>
    </w:p>
    <w:p w:rsidR="00676D4A" w:rsidRDefault="00676D4A" w:rsidP="00676D4A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0CF2952" wp14:editId="16598170">
            <wp:extent cx="6121965" cy="293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458" cy="29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A4" w:rsidRDefault="00676D4A" w:rsidP="00592BA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D62E7C">
        <w:rPr>
          <w:sz w:val="28"/>
          <w:szCs w:val="28"/>
        </w:rPr>
        <w:t>диаграмма "Сущность-связь" в нотации IDEF1X.</w:t>
      </w:r>
    </w:p>
    <w:p w:rsidR="00592BA4" w:rsidRDefault="00592B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92BA4" w:rsidRDefault="009B38FE" w:rsidP="003173BE">
      <w:pPr>
        <w:pStyle w:val="a7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9B38FE">
        <w:rPr>
          <w:sz w:val="28"/>
          <w:szCs w:val="28"/>
        </w:rPr>
        <w:t xml:space="preserve">.2 Выбор инструментальных средств для разработки информационной системы </w:t>
      </w:r>
      <w:r w:rsidR="00BB66F4" w:rsidRPr="00BC2AAF">
        <w:rPr>
          <w:color w:val="0D0D0D" w:themeColor="text1" w:themeTint="F2"/>
          <w:sz w:val="28"/>
          <w:szCs w:val="28"/>
        </w:rPr>
        <w:t>«</w:t>
      </w:r>
      <w:r w:rsidR="00BB66F4">
        <w:rPr>
          <w:color w:val="0D0D0D" w:themeColor="text1" w:themeTint="F2"/>
          <w:sz w:val="28"/>
          <w:szCs w:val="28"/>
        </w:rPr>
        <w:t>Техническая</w:t>
      </w:r>
      <w:r w:rsidR="00BB66F4"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48363E" w:rsidRDefault="0048363E" w:rsidP="003173BE">
      <w:pPr>
        <w:pStyle w:val="a7"/>
        <w:tabs>
          <w:tab w:val="clear" w:pos="4677"/>
          <w:tab w:val="clear" w:pos="9355"/>
        </w:tabs>
        <w:spacing w:line="360" w:lineRule="auto"/>
        <w:ind w:left="851"/>
        <w:jc w:val="both"/>
        <w:rPr>
          <w:color w:val="0D0D0D" w:themeColor="text1" w:themeTint="F2"/>
          <w:sz w:val="28"/>
          <w:szCs w:val="28"/>
        </w:rPr>
      </w:pPr>
    </w:p>
    <w:p w:rsidR="0048363E" w:rsidRDefault="00445C3C" w:rsidP="0048363E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445C3C">
        <w:rPr>
          <w:sz w:val="28"/>
          <w:szCs w:val="28"/>
        </w:rPr>
        <w:t>Для выбора инструментальных средств для разработки информационной системы «Техническая поддержка программного продукта ООО «ИМЦ»</w:t>
      </w:r>
    </w:p>
    <w:p w:rsidR="00B66E18" w:rsidRDefault="00B66E18" w:rsidP="0048363E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48363E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 xml:space="preserve">, которая ранее приобрела шведскую компанию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AB. Продукт распространяется как под GNU </w:t>
      </w:r>
      <w:proofErr w:type="spellStart"/>
      <w:r w:rsidRPr="00510D43">
        <w:rPr>
          <w:sz w:val="28"/>
          <w:szCs w:val="28"/>
        </w:rPr>
        <w:t>General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Public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License</w:t>
      </w:r>
      <w:proofErr w:type="spellEnd"/>
      <w:r w:rsidRPr="00510D43">
        <w:rPr>
          <w:sz w:val="28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</w:t>
      </w:r>
    </w:p>
    <w:p w:rsidR="00510D43" w:rsidRPr="00510D43" w:rsidRDefault="00510D43" w:rsidP="00510D43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</w:t>
      </w:r>
      <w:r w:rsidRPr="00510D43">
        <w:rPr>
          <w:sz w:val="28"/>
          <w:szCs w:val="28"/>
        </w:rPr>
        <w:lastRenderedPageBreak/>
        <w:t>крупных баз данных масштаба предприятия; конкурирует с другими СУБД в этом сегменте рынка.</w:t>
      </w:r>
    </w:p>
    <w:p w:rsidR="00904B04" w:rsidRDefault="00904B04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>. Может использоваться и как отдельный сервер с 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>
        <w:rPr>
          <w:sz w:val="28"/>
          <w:szCs w:val="28"/>
        </w:rPr>
        <w:t>7</w:t>
      </w:r>
    </w:p>
    <w:p w:rsidR="00683728" w:rsidRDefault="00683728" w:rsidP="00510D43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7 - с</w:t>
      </w:r>
      <w:r w:rsidRPr="007627CE">
        <w:rPr>
          <w:sz w:val="28"/>
          <w:szCs w:val="28"/>
        </w:rPr>
        <w:t>водная информация о сравнении СУБД</w:t>
      </w:r>
      <w:r w:rsidR="00D86EF7">
        <w:rPr>
          <w:sz w:val="28"/>
          <w:szCs w:val="28"/>
        </w:rPr>
        <w:t>.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7"/>
        <w:gridCol w:w="1596"/>
        <w:gridCol w:w="1554"/>
        <w:gridCol w:w="1152"/>
        <w:gridCol w:w="1804"/>
        <w:gridCol w:w="1762"/>
      </w:tblGrid>
      <w:tr w:rsidR="00BC06E3" w:rsidRPr="00803066" w:rsidTr="00730DCF">
        <w:tc>
          <w:tcPr>
            <w:tcW w:w="1477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152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804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  <w:tc>
          <w:tcPr>
            <w:tcW w:w="1762" w:type="dxa"/>
          </w:tcPr>
          <w:p w:rsidR="00BC06E3" w:rsidRPr="00803066" w:rsidRDefault="00BC06E3" w:rsidP="00BC06E3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Наличие встраиваемых версий СУБД</w:t>
            </w:r>
          </w:p>
        </w:tc>
      </w:tr>
      <w:tr w:rsidR="004E629E" w:rsidRPr="00803066" w:rsidTr="00730DCF">
        <w:tc>
          <w:tcPr>
            <w:tcW w:w="1477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152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804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  <w:tc>
          <w:tcPr>
            <w:tcW w:w="1762" w:type="dxa"/>
          </w:tcPr>
          <w:p w:rsidR="004E629E" w:rsidRPr="004E629E" w:rsidRDefault="004E629E" w:rsidP="004E629E">
            <w:pPr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да</w:t>
            </w:r>
          </w:p>
        </w:tc>
      </w:tr>
      <w:tr w:rsidR="009F5C56" w:rsidRPr="00803066" w:rsidTr="00730DCF">
        <w:tc>
          <w:tcPr>
            <w:tcW w:w="1477" w:type="dxa"/>
          </w:tcPr>
          <w:p w:rsidR="009F5C56" w:rsidRPr="00803066" w:rsidRDefault="009F5C56" w:rsidP="009F5C56">
            <w:pPr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152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804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  <w:tc>
          <w:tcPr>
            <w:tcW w:w="1762" w:type="dxa"/>
          </w:tcPr>
          <w:p w:rsidR="009F5C56" w:rsidRPr="009F5C56" w:rsidRDefault="009F5C56" w:rsidP="009F5C56">
            <w:pPr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</w:tr>
      <w:tr w:rsidR="004B486B" w:rsidRPr="00803066" w:rsidTr="00730DCF">
        <w:tc>
          <w:tcPr>
            <w:tcW w:w="1477" w:type="dxa"/>
          </w:tcPr>
          <w:p w:rsidR="004B486B" w:rsidRPr="00803066" w:rsidRDefault="004B486B" w:rsidP="004B486B">
            <w:pPr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4B486B" w:rsidRPr="004B486B" w:rsidRDefault="004B486B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4B486B" w:rsidRPr="004B486B" w:rsidRDefault="004B486B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152" w:type="dxa"/>
          </w:tcPr>
          <w:p w:rsidR="004B486B" w:rsidRPr="004B486B" w:rsidRDefault="004B486B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804" w:type="dxa"/>
          </w:tcPr>
          <w:p w:rsidR="004B486B" w:rsidRPr="004B486B" w:rsidRDefault="004B486B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  <w:tc>
          <w:tcPr>
            <w:tcW w:w="1762" w:type="dxa"/>
          </w:tcPr>
          <w:p w:rsidR="004B486B" w:rsidRPr="004B486B" w:rsidRDefault="00C205B7" w:rsidP="004B486B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</w:tr>
      <w:tr w:rsidR="00C205B7" w:rsidRPr="00803066" w:rsidTr="00730DCF">
        <w:tc>
          <w:tcPr>
            <w:tcW w:w="1477" w:type="dxa"/>
          </w:tcPr>
          <w:p w:rsidR="00C205B7" w:rsidRPr="00803066" w:rsidRDefault="00C205B7" w:rsidP="00C205B7">
            <w:pPr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C205B7" w:rsidRPr="00803066" w:rsidRDefault="00C205B7" w:rsidP="00C205B7">
            <w:pPr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C205B7" w:rsidRPr="00803066" w:rsidRDefault="006257A0" w:rsidP="00C205B7">
            <w:pPr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152" w:type="dxa"/>
          </w:tcPr>
          <w:p w:rsidR="00C205B7" w:rsidRPr="00803066" w:rsidRDefault="00C205B7" w:rsidP="00C205B7">
            <w:pPr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804" w:type="dxa"/>
          </w:tcPr>
          <w:p w:rsidR="00C205B7" w:rsidRPr="004B486B" w:rsidRDefault="00C205B7" w:rsidP="00C205B7">
            <w:pPr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  <w:tc>
          <w:tcPr>
            <w:tcW w:w="1762" w:type="dxa"/>
          </w:tcPr>
          <w:p w:rsidR="00C205B7" w:rsidRPr="00803066" w:rsidRDefault="00C205B7" w:rsidP="00C205B7">
            <w:pPr>
              <w:rPr>
                <w:sz w:val="24"/>
                <w:szCs w:val="28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</w:tr>
    </w:tbl>
    <w:p w:rsidR="007627CE" w:rsidRDefault="00730DCF" w:rsidP="00B00647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Pr="00B00647" w:rsidRDefault="00B00647" w:rsidP="00B0064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proofErr w:type="gram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 ,</w:t>
      </w:r>
      <w:proofErr w:type="gram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реляционной базой данных с открытым исходным кодом для многих людей и организаций.</w:t>
      </w:r>
    </w:p>
    <w:p w:rsidR="00B00647" w:rsidRPr="0000514E" w:rsidRDefault="00B00647" w:rsidP="00730DCF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</w:p>
    <w:sectPr w:rsidR="00B00647" w:rsidRPr="0000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514E"/>
    <w:rsid w:val="00006146"/>
    <w:rsid w:val="000073A1"/>
    <w:rsid w:val="00022C2E"/>
    <w:rsid w:val="000252F6"/>
    <w:rsid w:val="000602F9"/>
    <w:rsid w:val="0007565E"/>
    <w:rsid w:val="00091EF1"/>
    <w:rsid w:val="000A69B0"/>
    <w:rsid w:val="000B138D"/>
    <w:rsid w:val="000B665E"/>
    <w:rsid w:val="000D0A51"/>
    <w:rsid w:val="000D17B4"/>
    <w:rsid w:val="000F2F40"/>
    <w:rsid w:val="00102CF2"/>
    <w:rsid w:val="00105002"/>
    <w:rsid w:val="0010636D"/>
    <w:rsid w:val="0010666B"/>
    <w:rsid w:val="00107D52"/>
    <w:rsid w:val="00120E52"/>
    <w:rsid w:val="00126B12"/>
    <w:rsid w:val="001275A4"/>
    <w:rsid w:val="001277A2"/>
    <w:rsid w:val="00136200"/>
    <w:rsid w:val="00153505"/>
    <w:rsid w:val="00157EC3"/>
    <w:rsid w:val="00165674"/>
    <w:rsid w:val="00165682"/>
    <w:rsid w:val="001672DD"/>
    <w:rsid w:val="0017346B"/>
    <w:rsid w:val="001766D8"/>
    <w:rsid w:val="00190533"/>
    <w:rsid w:val="00192906"/>
    <w:rsid w:val="00192DD8"/>
    <w:rsid w:val="00194DDE"/>
    <w:rsid w:val="001959EC"/>
    <w:rsid w:val="001A4076"/>
    <w:rsid w:val="001A493E"/>
    <w:rsid w:val="001B44A7"/>
    <w:rsid w:val="001B48A2"/>
    <w:rsid w:val="001C06CB"/>
    <w:rsid w:val="001C1689"/>
    <w:rsid w:val="001C1D80"/>
    <w:rsid w:val="001C30B4"/>
    <w:rsid w:val="001C4CCD"/>
    <w:rsid w:val="001D11BB"/>
    <w:rsid w:val="001D2AFC"/>
    <w:rsid w:val="001D653D"/>
    <w:rsid w:val="001E17E3"/>
    <w:rsid w:val="001E1B11"/>
    <w:rsid w:val="001E30E1"/>
    <w:rsid w:val="001E5474"/>
    <w:rsid w:val="001F635D"/>
    <w:rsid w:val="0020203F"/>
    <w:rsid w:val="002167A7"/>
    <w:rsid w:val="002175D4"/>
    <w:rsid w:val="0023223F"/>
    <w:rsid w:val="0023458F"/>
    <w:rsid w:val="00243470"/>
    <w:rsid w:val="002474E5"/>
    <w:rsid w:val="00253007"/>
    <w:rsid w:val="00272ECB"/>
    <w:rsid w:val="00281155"/>
    <w:rsid w:val="00281F42"/>
    <w:rsid w:val="00282BEE"/>
    <w:rsid w:val="00285DC1"/>
    <w:rsid w:val="00287D37"/>
    <w:rsid w:val="002945F8"/>
    <w:rsid w:val="002A1245"/>
    <w:rsid w:val="002A4938"/>
    <w:rsid w:val="002A5566"/>
    <w:rsid w:val="002B088B"/>
    <w:rsid w:val="002B2D74"/>
    <w:rsid w:val="002D06AA"/>
    <w:rsid w:val="002D0FE8"/>
    <w:rsid w:val="002D362B"/>
    <w:rsid w:val="002D3F19"/>
    <w:rsid w:val="002E129C"/>
    <w:rsid w:val="002E3F4D"/>
    <w:rsid w:val="002E4E25"/>
    <w:rsid w:val="002E7B09"/>
    <w:rsid w:val="002F1568"/>
    <w:rsid w:val="003024B1"/>
    <w:rsid w:val="00305A2B"/>
    <w:rsid w:val="00306334"/>
    <w:rsid w:val="00310926"/>
    <w:rsid w:val="0031208A"/>
    <w:rsid w:val="003148E1"/>
    <w:rsid w:val="003173BE"/>
    <w:rsid w:val="00317D92"/>
    <w:rsid w:val="00323893"/>
    <w:rsid w:val="00330D8A"/>
    <w:rsid w:val="003503BA"/>
    <w:rsid w:val="00381A39"/>
    <w:rsid w:val="003834F6"/>
    <w:rsid w:val="003847D5"/>
    <w:rsid w:val="003922EF"/>
    <w:rsid w:val="003963D0"/>
    <w:rsid w:val="003A01EF"/>
    <w:rsid w:val="003A0AC0"/>
    <w:rsid w:val="003A2FE7"/>
    <w:rsid w:val="003A58E5"/>
    <w:rsid w:val="003B6A02"/>
    <w:rsid w:val="003B70A8"/>
    <w:rsid w:val="003C413D"/>
    <w:rsid w:val="003D03BA"/>
    <w:rsid w:val="003D47D4"/>
    <w:rsid w:val="003D7CE6"/>
    <w:rsid w:val="003E36A4"/>
    <w:rsid w:val="003F232B"/>
    <w:rsid w:val="00400481"/>
    <w:rsid w:val="00404894"/>
    <w:rsid w:val="00404B1F"/>
    <w:rsid w:val="00415D38"/>
    <w:rsid w:val="004200A1"/>
    <w:rsid w:val="00422054"/>
    <w:rsid w:val="00427642"/>
    <w:rsid w:val="00427DA2"/>
    <w:rsid w:val="004308BA"/>
    <w:rsid w:val="004313F7"/>
    <w:rsid w:val="004340DE"/>
    <w:rsid w:val="004439C3"/>
    <w:rsid w:val="00445C3C"/>
    <w:rsid w:val="00467723"/>
    <w:rsid w:val="00470010"/>
    <w:rsid w:val="00470F82"/>
    <w:rsid w:val="00472D5A"/>
    <w:rsid w:val="0047735B"/>
    <w:rsid w:val="0048363E"/>
    <w:rsid w:val="00483F94"/>
    <w:rsid w:val="00484FC5"/>
    <w:rsid w:val="004A02FE"/>
    <w:rsid w:val="004A0BCD"/>
    <w:rsid w:val="004B486B"/>
    <w:rsid w:val="004C35F7"/>
    <w:rsid w:val="004C51DD"/>
    <w:rsid w:val="004E002C"/>
    <w:rsid w:val="004E1806"/>
    <w:rsid w:val="004E4829"/>
    <w:rsid w:val="004E4FE1"/>
    <w:rsid w:val="004E629E"/>
    <w:rsid w:val="004F3EED"/>
    <w:rsid w:val="0050287B"/>
    <w:rsid w:val="00502D0B"/>
    <w:rsid w:val="005065C8"/>
    <w:rsid w:val="00506AB0"/>
    <w:rsid w:val="00510D43"/>
    <w:rsid w:val="005172C5"/>
    <w:rsid w:val="005219CA"/>
    <w:rsid w:val="005238D6"/>
    <w:rsid w:val="00527FAE"/>
    <w:rsid w:val="00531EC0"/>
    <w:rsid w:val="00535759"/>
    <w:rsid w:val="00535FB2"/>
    <w:rsid w:val="00536F27"/>
    <w:rsid w:val="0053777D"/>
    <w:rsid w:val="00541A0E"/>
    <w:rsid w:val="00551832"/>
    <w:rsid w:val="00552C20"/>
    <w:rsid w:val="00554685"/>
    <w:rsid w:val="00570D29"/>
    <w:rsid w:val="005727BC"/>
    <w:rsid w:val="0057469D"/>
    <w:rsid w:val="00582F39"/>
    <w:rsid w:val="00585823"/>
    <w:rsid w:val="005921F7"/>
    <w:rsid w:val="00592BA4"/>
    <w:rsid w:val="005B12D4"/>
    <w:rsid w:val="005B4592"/>
    <w:rsid w:val="005B516F"/>
    <w:rsid w:val="005C2021"/>
    <w:rsid w:val="005D29DF"/>
    <w:rsid w:val="005D3517"/>
    <w:rsid w:val="005D3932"/>
    <w:rsid w:val="005D44E8"/>
    <w:rsid w:val="005D6362"/>
    <w:rsid w:val="005E4412"/>
    <w:rsid w:val="005E48B4"/>
    <w:rsid w:val="005E4F45"/>
    <w:rsid w:val="005E517A"/>
    <w:rsid w:val="005E7C9E"/>
    <w:rsid w:val="005F19AE"/>
    <w:rsid w:val="00603502"/>
    <w:rsid w:val="00603559"/>
    <w:rsid w:val="00604417"/>
    <w:rsid w:val="00610066"/>
    <w:rsid w:val="0061787F"/>
    <w:rsid w:val="00624A90"/>
    <w:rsid w:val="00624D6B"/>
    <w:rsid w:val="006257A0"/>
    <w:rsid w:val="00634B7A"/>
    <w:rsid w:val="00636EF8"/>
    <w:rsid w:val="0064126D"/>
    <w:rsid w:val="00642E4B"/>
    <w:rsid w:val="006451F7"/>
    <w:rsid w:val="00656624"/>
    <w:rsid w:val="00657842"/>
    <w:rsid w:val="00676D4A"/>
    <w:rsid w:val="00683728"/>
    <w:rsid w:val="00686E1F"/>
    <w:rsid w:val="00687FAC"/>
    <w:rsid w:val="006918E2"/>
    <w:rsid w:val="00691A66"/>
    <w:rsid w:val="006937E7"/>
    <w:rsid w:val="006A5B05"/>
    <w:rsid w:val="006C0AC4"/>
    <w:rsid w:val="006C170B"/>
    <w:rsid w:val="006C72B3"/>
    <w:rsid w:val="006E09D3"/>
    <w:rsid w:val="006E4310"/>
    <w:rsid w:val="006E56F9"/>
    <w:rsid w:val="006F1FF8"/>
    <w:rsid w:val="0070027A"/>
    <w:rsid w:val="00702309"/>
    <w:rsid w:val="00713529"/>
    <w:rsid w:val="00713B45"/>
    <w:rsid w:val="00716C36"/>
    <w:rsid w:val="00723AA7"/>
    <w:rsid w:val="00725E05"/>
    <w:rsid w:val="00730DCF"/>
    <w:rsid w:val="00733775"/>
    <w:rsid w:val="0074112C"/>
    <w:rsid w:val="007412BF"/>
    <w:rsid w:val="007567B6"/>
    <w:rsid w:val="007572D5"/>
    <w:rsid w:val="007627CE"/>
    <w:rsid w:val="00763948"/>
    <w:rsid w:val="00765564"/>
    <w:rsid w:val="00770FD4"/>
    <w:rsid w:val="0077244E"/>
    <w:rsid w:val="0077446E"/>
    <w:rsid w:val="0077490A"/>
    <w:rsid w:val="00777C3F"/>
    <w:rsid w:val="00787468"/>
    <w:rsid w:val="00790C49"/>
    <w:rsid w:val="007A3D03"/>
    <w:rsid w:val="007A592B"/>
    <w:rsid w:val="007C5B92"/>
    <w:rsid w:val="007D00D3"/>
    <w:rsid w:val="007D6307"/>
    <w:rsid w:val="007D66DC"/>
    <w:rsid w:val="007E6549"/>
    <w:rsid w:val="007F00C0"/>
    <w:rsid w:val="007F0F8D"/>
    <w:rsid w:val="007F367D"/>
    <w:rsid w:val="00801717"/>
    <w:rsid w:val="00803066"/>
    <w:rsid w:val="00804878"/>
    <w:rsid w:val="00806656"/>
    <w:rsid w:val="008136DB"/>
    <w:rsid w:val="00815082"/>
    <w:rsid w:val="00821B8C"/>
    <w:rsid w:val="008311C3"/>
    <w:rsid w:val="008344F0"/>
    <w:rsid w:val="0083742B"/>
    <w:rsid w:val="0085342A"/>
    <w:rsid w:val="00856864"/>
    <w:rsid w:val="00862259"/>
    <w:rsid w:val="00862CEA"/>
    <w:rsid w:val="008634C1"/>
    <w:rsid w:val="0088060F"/>
    <w:rsid w:val="008828B7"/>
    <w:rsid w:val="00882CD8"/>
    <w:rsid w:val="008854B0"/>
    <w:rsid w:val="008868A0"/>
    <w:rsid w:val="00891254"/>
    <w:rsid w:val="008A36AE"/>
    <w:rsid w:val="008B109C"/>
    <w:rsid w:val="008B3429"/>
    <w:rsid w:val="008B7E32"/>
    <w:rsid w:val="008C1288"/>
    <w:rsid w:val="008C5430"/>
    <w:rsid w:val="008C5E9D"/>
    <w:rsid w:val="008C6A90"/>
    <w:rsid w:val="008C7E33"/>
    <w:rsid w:val="008E0866"/>
    <w:rsid w:val="00904B04"/>
    <w:rsid w:val="00905A85"/>
    <w:rsid w:val="00910670"/>
    <w:rsid w:val="00915722"/>
    <w:rsid w:val="009202F8"/>
    <w:rsid w:val="00931C52"/>
    <w:rsid w:val="00934AFC"/>
    <w:rsid w:val="0095310B"/>
    <w:rsid w:val="00965156"/>
    <w:rsid w:val="009704D0"/>
    <w:rsid w:val="0097371A"/>
    <w:rsid w:val="00980154"/>
    <w:rsid w:val="00985B79"/>
    <w:rsid w:val="009901E3"/>
    <w:rsid w:val="009902F6"/>
    <w:rsid w:val="00996EBD"/>
    <w:rsid w:val="009B38FE"/>
    <w:rsid w:val="009B48D4"/>
    <w:rsid w:val="009C7343"/>
    <w:rsid w:val="009F1E37"/>
    <w:rsid w:val="009F5128"/>
    <w:rsid w:val="009F5C56"/>
    <w:rsid w:val="00A07C8A"/>
    <w:rsid w:val="00A07D23"/>
    <w:rsid w:val="00A14702"/>
    <w:rsid w:val="00A22DCE"/>
    <w:rsid w:val="00A2386F"/>
    <w:rsid w:val="00A25EC9"/>
    <w:rsid w:val="00A3307C"/>
    <w:rsid w:val="00A345E8"/>
    <w:rsid w:val="00A4191B"/>
    <w:rsid w:val="00A43022"/>
    <w:rsid w:val="00A47F60"/>
    <w:rsid w:val="00A55065"/>
    <w:rsid w:val="00A627AA"/>
    <w:rsid w:val="00A72C43"/>
    <w:rsid w:val="00A75714"/>
    <w:rsid w:val="00A83D78"/>
    <w:rsid w:val="00AC0069"/>
    <w:rsid w:val="00AD17A5"/>
    <w:rsid w:val="00AD59AC"/>
    <w:rsid w:val="00AD5DA8"/>
    <w:rsid w:val="00AD7DDA"/>
    <w:rsid w:val="00B00647"/>
    <w:rsid w:val="00B056A4"/>
    <w:rsid w:val="00B131B4"/>
    <w:rsid w:val="00B24810"/>
    <w:rsid w:val="00B2598F"/>
    <w:rsid w:val="00B259BA"/>
    <w:rsid w:val="00B27CFF"/>
    <w:rsid w:val="00B35173"/>
    <w:rsid w:val="00B50FCB"/>
    <w:rsid w:val="00B5499C"/>
    <w:rsid w:val="00B66E18"/>
    <w:rsid w:val="00B67804"/>
    <w:rsid w:val="00B701D5"/>
    <w:rsid w:val="00B96615"/>
    <w:rsid w:val="00BA3AA7"/>
    <w:rsid w:val="00BB2CD2"/>
    <w:rsid w:val="00BB66F4"/>
    <w:rsid w:val="00BC06E3"/>
    <w:rsid w:val="00BC2AAF"/>
    <w:rsid w:val="00BC7384"/>
    <w:rsid w:val="00BD353E"/>
    <w:rsid w:val="00BD51AE"/>
    <w:rsid w:val="00BE70FB"/>
    <w:rsid w:val="00BF2A01"/>
    <w:rsid w:val="00C05171"/>
    <w:rsid w:val="00C063E8"/>
    <w:rsid w:val="00C106AC"/>
    <w:rsid w:val="00C20445"/>
    <w:rsid w:val="00C205B7"/>
    <w:rsid w:val="00C22C19"/>
    <w:rsid w:val="00C3686A"/>
    <w:rsid w:val="00C43793"/>
    <w:rsid w:val="00C5434C"/>
    <w:rsid w:val="00C5486F"/>
    <w:rsid w:val="00C6276D"/>
    <w:rsid w:val="00C761E0"/>
    <w:rsid w:val="00C7759B"/>
    <w:rsid w:val="00C84EE5"/>
    <w:rsid w:val="00C851E8"/>
    <w:rsid w:val="00C91648"/>
    <w:rsid w:val="00C95ACB"/>
    <w:rsid w:val="00CA10A2"/>
    <w:rsid w:val="00CB6463"/>
    <w:rsid w:val="00CC1BFE"/>
    <w:rsid w:val="00CC4CE7"/>
    <w:rsid w:val="00CD2594"/>
    <w:rsid w:val="00CD5E01"/>
    <w:rsid w:val="00CD6FFC"/>
    <w:rsid w:val="00CE17CE"/>
    <w:rsid w:val="00CE31B9"/>
    <w:rsid w:val="00CE59F2"/>
    <w:rsid w:val="00CE6854"/>
    <w:rsid w:val="00CF750B"/>
    <w:rsid w:val="00CF76B6"/>
    <w:rsid w:val="00D053A4"/>
    <w:rsid w:val="00D239CB"/>
    <w:rsid w:val="00D34195"/>
    <w:rsid w:val="00D367B1"/>
    <w:rsid w:val="00D40557"/>
    <w:rsid w:val="00D46D3C"/>
    <w:rsid w:val="00D5637D"/>
    <w:rsid w:val="00D62E7C"/>
    <w:rsid w:val="00D66CC7"/>
    <w:rsid w:val="00D67724"/>
    <w:rsid w:val="00D701FE"/>
    <w:rsid w:val="00D70C99"/>
    <w:rsid w:val="00D71676"/>
    <w:rsid w:val="00D81722"/>
    <w:rsid w:val="00D8585D"/>
    <w:rsid w:val="00D86EF7"/>
    <w:rsid w:val="00D9097C"/>
    <w:rsid w:val="00D91AF0"/>
    <w:rsid w:val="00D93569"/>
    <w:rsid w:val="00D9485B"/>
    <w:rsid w:val="00D975AC"/>
    <w:rsid w:val="00DA7CD0"/>
    <w:rsid w:val="00DC1ED1"/>
    <w:rsid w:val="00DC3D3E"/>
    <w:rsid w:val="00DC69CD"/>
    <w:rsid w:val="00DD160B"/>
    <w:rsid w:val="00DD2F7B"/>
    <w:rsid w:val="00DD4C6D"/>
    <w:rsid w:val="00DE08F9"/>
    <w:rsid w:val="00DE45F8"/>
    <w:rsid w:val="00DF4764"/>
    <w:rsid w:val="00E12887"/>
    <w:rsid w:val="00E25670"/>
    <w:rsid w:val="00E37FC7"/>
    <w:rsid w:val="00E44586"/>
    <w:rsid w:val="00E45771"/>
    <w:rsid w:val="00E510B5"/>
    <w:rsid w:val="00E52E38"/>
    <w:rsid w:val="00E54956"/>
    <w:rsid w:val="00E64365"/>
    <w:rsid w:val="00E67D5B"/>
    <w:rsid w:val="00E72D68"/>
    <w:rsid w:val="00E7396B"/>
    <w:rsid w:val="00E76DCC"/>
    <w:rsid w:val="00E80D0B"/>
    <w:rsid w:val="00E842DA"/>
    <w:rsid w:val="00E91D37"/>
    <w:rsid w:val="00E97C6B"/>
    <w:rsid w:val="00EA2B75"/>
    <w:rsid w:val="00EA4B13"/>
    <w:rsid w:val="00EB5EBF"/>
    <w:rsid w:val="00EB65A5"/>
    <w:rsid w:val="00ED74C6"/>
    <w:rsid w:val="00ED7541"/>
    <w:rsid w:val="00EE3110"/>
    <w:rsid w:val="00F01498"/>
    <w:rsid w:val="00F041F2"/>
    <w:rsid w:val="00F04399"/>
    <w:rsid w:val="00F136E6"/>
    <w:rsid w:val="00F24DA0"/>
    <w:rsid w:val="00F27CB4"/>
    <w:rsid w:val="00F5257F"/>
    <w:rsid w:val="00F55998"/>
    <w:rsid w:val="00F67E75"/>
    <w:rsid w:val="00F67E8C"/>
    <w:rsid w:val="00F81306"/>
    <w:rsid w:val="00F81DF2"/>
    <w:rsid w:val="00F861CE"/>
    <w:rsid w:val="00F87485"/>
    <w:rsid w:val="00F91FB9"/>
    <w:rsid w:val="00F929AB"/>
    <w:rsid w:val="00F939FA"/>
    <w:rsid w:val="00F97BAE"/>
    <w:rsid w:val="00FB4627"/>
    <w:rsid w:val="00FB6572"/>
    <w:rsid w:val="00FC6DC5"/>
    <w:rsid w:val="00FC7CDD"/>
    <w:rsid w:val="00FD18A7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9893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F8D3A-21AE-45B0-8805-CB8D85E5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2704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457</cp:revision>
  <dcterms:created xsi:type="dcterms:W3CDTF">2024-04-02T14:44:00Z</dcterms:created>
  <dcterms:modified xsi:type="dcterms:W3CDTF">2024-04-23T04:04:00Z</dcterms:modified>
</cp:coreProperties>
</file>