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</w:t>
      </w:r>
      <w:bookmarkStart w:id="0" w:name="_GoBack"/>
      <w:bookmarkEnd w:id="0"/>
      <w:r w:rsidRPr="00327AED">
        <w:rPr>
          <w:szCs w:val="28"/>
        </w:rPr>
        <w:t>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157B8E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Контекстная диаграмма процесса «обработка обращении от клиентов» представлена на рисунке </w:t>
      </w:r>
      <w:r w:rsidR="0060243B" w:rsidRPr="00157B8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A1401" w:rsidRPr="00157B8E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noProof/>
          <w:color w:val="FF0000"/>
          <w:lang w:eastAsia="ru-RU"/>
        </w:rPr>
        <w:drawing>
          <wp:inline distT="0" distB="0" distL="0" distR="0" wp14:anchorId="5EFE3A06" wp14:editId="5A04E68C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715DAB" w:rsidRPr="00157B8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входного потока данных являются: обращение клиента.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Механизмами исполнения являются: сотрудник технической поддержка ООО «ИМЦ», которые обрабатывают обращение клиента и при необходимости передают обращению сотрудникам разработки ООО «ИМЦ».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0D780E" wp14:editId="64C379D7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426BCC" w:rsidRPr="00157B8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В этом процессе можно выделить такие проблемы, как: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договоров;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техническая поддержка оформлять задачу в систему;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lastRenderedPageBreak/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C43AB6" w:rsidRPr="006508B8">
        <w:rPr>
          <w:rFonts w:ascii="Times New Roman" w:hAnsi="Times New Roman" w:cs="Times New Roman"/>
          <w:color w:val="FF0000"/>
          <w:sz w:val="28"/>
          <w:szCs w:val="28"/>
        </w:rPr>
        <w:t>4.</w:t>
      </w:r>
    </w:p>
    <w:p w:rsidR="008A1401" w:rsidRPr="006508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 w:rsidRPr="006508B8">
        <w:rPr>
          <w:noProof/>
          <w:color w:val="FF0000"/>
          <w:lang w:eastAsia="ru-RU"/>
        </w:rPr>
        <w:drawing>
          <wp:inline distT="0" distB="0" distL="0" distR="0" wp14:anchorId="3A261542" wp14:editId="620A4AE2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154137" w:rsidRPr="006508B8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входного потока данных являются: обращение.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управления являются: договор с клиентом, должностные инструкции, методичка ИС и устав.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7A4622" w:rsidRPr="006508B8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A1401" w:rsidRPr="006508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 w:rsidRPr="006508B8">
        <w:rPr>
          <w:noProof/>
          <w:color w:val="FF0000"/>
          <w:lang w:eastAsia="ru-RU"/>
        </w:rPr>
        <w:lastRenderedPageBreak/>
        <w:drawing>
          <wp:inline distT="0" distB="0" distL="0" distR="0" wp14:anchorId="3FE7AC00" wp14:editId="35BE450E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AF5015" w:rsidRPr="006508B8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Pr="006508B8" w:rsidRDefault="008A1401" w:rsidP="00265BCF">
      <w:pPr>
        <w:spacing w:line="360" w:lineRule="auto"/>
        <w:ind w:firstLine="851"/>
        <w:jc w:val="both"/>
        <w:rPr>
          <w:color w:val="FF0000"/>
          <w:szCs w:val="28"/>
        </w:rPr>
      </w:pPr>
      <w:r w:rsidRPr="006508B8">
        <w:rPr>
          <w:color w:val="FF0000"/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8A1401" w:rsidRPr="00FC314F" w:rsidRDefault="008A1401" w:rsidP="00265BCF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договор;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775D4D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5D4D">
        <w:rPr>
          <w:rFonts w:ascii="Times New Roman" w:hAnsi="Times New Roman" w:cs="Times New Roman"/>
          <w:color w:val="FF0000"/>
          <w:sz w:val="28"/>
          <w:szCs w:val="28"/>
        </w:rPr>
        <w:lastRenderedPageBreak/>
        <w:t>Таблица 3 - Сущность договор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n</w:t>
            </w:r>
            <w:r w:rsidRPr="00775D4D">
              <w:rPr>
                <w:color w:val="FF0000"/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Дата и время подписание договора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date</w:t>
            </w:r>
            <w:r w:rsidRPr="00775D4D">
              <w:rPr>
                <w:color w:val="FF0000"/>
                <w:szCs w:val="28"/>
              </w:rPr>
              <w:t>_end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Дата и время окончание действие договора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text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Текст договора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Pr="00074F5C" w:rsidRDefault="008A1401" w:rsidP="008F20D3">
      <w:pPr>
        <w:spacing w:line="360" w:lineRule="auto"/>
        <w:ind w:firstLine="851"/>
        <w:jc w:val="both"/>
        <w:rPr>
          <w:color w:val="FF0000"/>
          <w:szCs w:val="28"/>
        </w:rPr>
      </w:pPr>
      <w:r w:rsidRPr="00074F5C">
        <w:rPr>
          <w:color w:val="FF0000"/>
          <w:szCs w:val="28"/>
        </w:rPr>
        <w:t xml:space="preserve">На рисунке </w:t>
      </w:r>
      <w:r w:rsidR="00C73040" w:rsidRPr="00074F5C">
        <w:rPr>
          <w:color w:val="FF0000"/>
          <w:szCs w:val="28"/>
        </w:rPr>
        <w:t>6</w:t>
      </w:r>
      <w:r w:rsidRPr="00074F5C">
        <w:rPr>
          <w:color w:val="FF0000"/>
          <w:szCs w:val="28"/>
        </w:rPr>
        <w:t xml:space="preserve"> представлена физическая модель данных.</w:t>
      </w:r>
    </w:p>
    <w:p w:rsidR="008A1401" w:rsidRDefault="000275AB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3915A6" wp14:editId="0CA64664">
            <wp:extent cx="3986784" cy="354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719" cy="3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74F5C" w:rsidRDefault="008A1401" w:rsidP="008F20D3">
      <w:pPr>
        <w:spacing w:line="360" w:lineRule="auto"/>
        <w:ind w:firstLine="851"/>
        <w:jc w:val="both"/>
        <w:rPr>
          <w:color w:val="FF0000"/>
          <w:szCs w:val="28"/>
        </w:rPr>
      </w:pPr>
      <w:r w:rsidRPr="00074F5C">
        <w:rPr>
          <w:color w:val="FF0000"/>
          <w:szCs w:val="28"/>
        </w:rPr>
        <w:t xml:space="preserve">Рисунок </w:t>
      </w:r>
      <w:r w:rsidR="00CB0A73" w:rsidRPr="00074F5C">
        <w:rPr>
          <w:color w:val="FF0000"/>
          <w:szCs w:val="28"/>
        </w:rPr>
        <w:t>6</w:t>
      </w:r>
      <w:r w:rsidRPr="00074F5C">
        <w:rPr>
          <w:color w:val="FF0000"/>
          <w:szCs w:val="28"/>
        </w:rPr>
        <w:t xml:space="preserve"> - Физическая модель данных</w:t>
      </w:r>
      <w:r w:rsidRPr="00074F5C">
        <w:rPr>
          <w:color w:val="FF0000"/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lastRenderedPageBreak/>
        <w:t xml:space="preserve">На рисунке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На рисунке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C" w:rsidRPr="00CE5457" w:rsidRDefault="008A1401" w:rsidP="00074F5C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074F5C" w:rsidRDefault="00074F5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На рисунке представлено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936F45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noProof/>
          <w:color w:val="FF0000"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50">
        <w:rPr>
          <w:color w:val="FF0000"/>
          <w:sz w:val="28"/>
          <w:szCs w:val="28"/>
        </w:rPr>
        <w:t xml:space="preserve"> </w:t>
      </w: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Рисунок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-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>На рисунке 21 представлен экран договора с правами разработчик</w:t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noProof/>
          <w:color w:val="FF0000"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 xml:space="preserve">Рисунок 21 - Экран </w:t>
      </w:r>
      <w:r w:rsidR="0065448A" w:rsidRPr="00FB61B3">
        <w:rPr>
          <w:color w:val="FF0000"/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283" w:rsidRDefault="00533283" w:rsidP="00C0684E">
      <w:r>
        <w:separator/>
      </w:r>
    </w:p>
  </w:endnote>
  <w:endnote w:type="continuationSeparator" w:id="0">
    <w:p w:rsidR="00533283" w:rsidRDefault="00533283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533283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AA507A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283" w:rsidRDefault="00533283" w:rsidP="00C0684E">
      <w:r>
        <w:separator/>
      </w:r>
    </w:p>
  </w:footnote>
  <w:footnote w:type="continuationSeparator" w:id="0">
    <w:p w:rsidR="00533283" w:rsidRDefault="00533283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533283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35CA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5D4D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B61B3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1C392BDB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C76309-DB84-45FC-9B19-9E679460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24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1687</cp:revision>
  <cp:lastPrinted>2010-12-14T12:24:00Z</cp:lastPrinted>
  <dcterms:created xsi:type="dcterms:W3CDTF">2010-05-24T07:53:00Z</dcterms:created>
  <dcterms:modified xsi:type="dcterms:W3CDTF">2025-01-20T05:49:00Z</dcterms:modified>
</cp:coreProperties>
</file>