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PMOMax — Business &amp; Pricing Guide</w:t>
      </w:r>
    </w:p>
    <w:p>
      <w:r>
        <w:t>This document presents PMOMax business and pricing information in a clean, executive-friendly format. Detailed bullet lists have been converted into tables with clear indicators for faster understanding.</w:t>
      </w:r>
    </w:p>
    <w:p>
      <w:pPr>
        <w:pStyle w:val="Heading2"/>
      </w:pPr>
      <w:r>
        <w:t>Product Capabilities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Document &amp; Spreadsheet Parsing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AI Assistant (Gemini)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Risk &amp; Compliance Agents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Gantt Chart Generation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Word / PDF / JSON Export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</w:tbl>
    <w:p>
      <w:pPr>
        <w:pStyle w:val="Heading2"/>
      </w:pPr>
      <w:r>
        <w:t>Pricing Plans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Documents / Month</w:t>
            </w:r>
          </w:p>
        </w:tc>
        <w:tc>
          <w:tcPr>
            <w:tcW w:type="dxa" w:w="2160"/>
          </w:tcPr>
          <w:p>
            <w:r>
              <w:t>Included Tokens</w:t>
            </w:r>
          </w:p>
        </w:tc>
        <w:tc>
          <w:tcPr>
            <w:tcW w:type="dxa" w:w="2160"/>
          </w:tcPr>
          <w:p>
            <w:r>
              <w:t>Monthly Price</w:t>
            </w:r>
          </w:p>
        </w:tc>
      </w:tr>
      <w:tr>
        <w:tc>
          <w:tcPr>
            <w:tcW w:type="dxa" w:w="2160"/>
          </w:tcPr>
          <w:p>
            <w:r>
              <w:t>Startup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1.4M</w:t>
            </w:r>
          </w:p>
        </w:tc>
        <w:tc>
          <w:tcPr>
            <w:tcW w:type="dxa" w:w="2160"/>
          </w:tcPr>
          <w:p>
            <w:r>
              <w:t>$99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35M</w:t>
            </w:r>
          </w:p>
        </w:tc>
        <w:tc>
          <w:tcPr>
            <w:tcW w:type="dxa" w:w="2160"/>
          </w:tcPr>
          <w:p>
            <w:r>
              <w:t>$799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140M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</w:tr>
    </w:tbl>
    <w:p>
      <w:pPr>
        <w:pStyle w:val="Heading2"/>
      </w:pPr>
      <w:r>
        <w:t>Major Cost Drivers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Cost Driver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Token usage</w:t>
            </w:r>
          </w:p>
        </w:tc>
        <w:tc>
          <w:tcPr>
            <w:tcW w:type="dxa" w:w="2880"/>
          </w:tcPr>
          <w:p>
            <w:r>
              <w:t>Primary variable cost</w:t>
            </w:r>
          </w:p>
        </w:tc>
      </w:tr>
      <w:tr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t>CPU &amp; requests</w:t>
            </w:r>
          </w:p>
        </w:tc>
        <w:tc>
          <w:tcPr>
            <w:tcW w:type="dxa" w:w="2880"/>
          </w:tcPr>
          <w:p>
            <w:r>
              <w:t>Typically very low</w:t>
            </w:r>
          </w:p>
        </w:tc>
      </w:tr>
      <w:tr>
        <w:tc>
          <w:tcPr>
            <w:tcW w:type="dxa" w:w="2880"/>
          </w:tcPr>
          <w:p>
            <w:r>
              <w:t>Firestore</w:t>
            </w:r>
          </w:p>
        </w:tc>
        <w:tc>
          <w:tcPr>
            <w:tcW w:type="dxa" w:w="2880"/>
          </w:tcPr>
          <w:p>
            <w:r>
              <w:t>Reads / Writes</w:t>
            </w:r>
          </w:p>
        </w:tc>
        <w:tc>
          <w:tcPr>
            <w:tcW w:type="dxa" w:w="2880"/>
          </w:tcPr>
          <w:p>
            <w:r>
              <w:t>Scales with usage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GB stored</w:t>
            </w:r>
          </w:p>
        </w:tc>
        <w:tc>
          <w:tcPr>
            <w:tcW w:type="dxa" w:w="2880"/>
          </w:tcPr>
          <w:p>
            <w:r>
              <w:t>Low monthly cost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