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PMOMax Business Pricing Deck - Corrected</w:t>
      </w:r>
    </w:p>
    <w:p>
      <w:r>
        <w:rPr>
          <w:i/>
        </w:rPr>
        <w:t>Corrected business, pricing, and operating-cost summary</w:t>
      </w:r>
    </w:p>
    <w:p>
      <w:pPr>
        <w:pStyle w:val="Heading1"/>
      </w:pPr>
      <w:r>
        <w:t>Product Value Summary</w:t>
      </w:r>
    </w:p>
    <w:p>
      <w:r>
        <w:t>PMOMax helps organizations improve project initiation by structuring project information, surfacing governance gaps, supporting risk and compliance review, and producing traceable AI-assisted outputs. The business value is stronger definition before execution begins: clearer scope, earlier risk visibility, better review evidence, and reduced ambiguity.</w:t>
      </w:r>
    </w:p>
    <w:p>
      <w:pPr>
        <w:pStyle w:val="Heading1"/>
      </w:pPr>
      <w:r>
        <w:t>Pricing Baseline</w:t>
      </w:r>
    </w:p>
    <w:p>
      <w:pPr>
        <w:pStyle w:val="ListBullet"/>
      </w:pPr>
      <w:r>
        <w:t>$4,250 per 3,900,000 tokens per month is the current pricing baseline used for plan calibration.</w:t>
      </w:r>
    </w:p>
    <w:p>
      <w:pPr>
        <w:pStyle w:val="ListBullet"/>
      </w:pPr>
      <w:r>
        <w:t>This baseline is an estimate anchor and should be validated against billing export data and real production telemetry.</w:t>
      </w:r>
    </w:p>
    <w:p>
      <w:pPr>
        <w:pStyle w:val="ListBullet"/>
      </w:pPr>
      <w:r>
        <w:t>Token usage, platform resources, logging volume, support requirements, and customer compliance controls can affect final pricing.</w:t>
      </w:r>
    </w:p>
    <w:p>
      <w:pPr>
        <w:pStyle w:val="Heading1"/>
      </w:pPr>
      <w:r>
        <w:t>Plan Bands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Token Budget / Month</w:t>
            </w:r>
          </w:p>
        </w:tc>
        <w:tc>
          <w:tcPr>
            <w:tcW w:type="dxa" w:w="2880"/>
          </w:tcPr>
          <w:p>
            <w:r>
              <w:t>Estimated Monthly Price</w:t>
            </w:r>
          </w:p>
        </w:tc>
      </w:tr>
      <w:tr>
        <w:tc>
          <w:tcPr>
            <w:tcW w:type="dxa" w:w="2880"/>
          </w:tcPr>
          <w:p>
            <w:r>
              <w:t>Starter</w:t>
            </w:r>
          </w:p>
        </w:tc>
        <w:tc>
          <w:tcPr>
            <w:tcW w:type="dxa" w:w="2880"/>
          </w:tcPr>
          <w:p>
            <w:r>
              <w:t>390,000</w:t>
            </w:r>
          </w:p>
        </w:tc>
        <w:tc>
          <w:tcPr>
            <w:tcW w:type="dxa" w:w="2880"/>
          </w:tcPr>
          <w:p>
            <w:r>
              <w:t>$425</w:t>
            </w:r>
          </w:p>
        </w:tc>
      </w:tr>
      <w:tr>
        <w:tc>
          <w:tcPr>
            <w:tcW w:type="dxa" w:w="2880"/>
          </w:tcPr>
          <w:p>
            <w:r>
              <w:t>Professional</w:t>
            </w:r>
          </w:p>
        </w:tc>
        <w:tc>
          <w:tcPr>
            <w:tcW w:type="dxa" w:w="2880"/>
          </w:tcPr>
          <w:p>
            <w:r>
              <w:t>3,900,000</w:t>
            </w:r>
          </w:p>
        </w:tc>
        <w:tc>
          <w:tcPr>
            <w:tcW w:type="dxa" w:w="2880"/>
          </w:tcPr>
          <w:p>
            <w:r>
              <w:t>$4,250</w:t>
            </w:r>
          </w:p>
        </w:tc>
      </w:tr>
      <w:tr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39,000,000</w:t>
            </w:r>
          </w:p>
        </w:tc>
        <w:tc>
          <w:tcPr>
            <w:tcW w:type="dxa" w:w="2880"/>
          </w:tcPr>
          <w:p>
            <w:r>
              <w:t>$42,500</w:t>
            </w:r>
          </w:p>
        </w:tc>
      </w:tr>
    </w:tbl>
    <w:p>
      <w:pPr>
        <w:pStyle w:val="Heading1"/>
      </w:pPr>
      <w:r>
        <w:t>Operating Cost Components</w:t>
      </w:r>
    </w:p>
    <w:p>
      <w:pPr>
        <w:pStyle w:val="ListBullet"/>
      </w:pPr>
      <w:r>
        <w:t>Variable model usage driven by input/output token volume.</w:t>
      </w:r>
    </w:p>
    <w:p>
      <w:pPr>
        <w:pStyle w:val="ListBullet"/>
      </w:pPr>
      <w:r>
        <w:t>Runtime infrastructure such as Cloud Run or GKE.</w:t>
      </w:r>
    </w:p>
    <w:p>
      <w:pPr>
        <w:pStyle w:val="ListBullet"/>
      </w:pPr>
      <w:r>
        <w:t>Cloud Logging ingestion and retention.</w:t>
      </w:r>
    </w:p>
    <w:p>
      <w:pPr>
        <w:pStyle w:val="ListBullet"/>
      </w:pPr>
      <w:r>
        <w:t>Artifact Registry, Cloud Build, Secret Manager, and Cloud Storage.</w:t>
      </w:r>
    </w:p>
    <w:p>
      <w:pPr>
        <w:pStyle w:val="ListBullet"/>
      </w:pPr>
      <w:r>
        <w:t>Optional customer-managed audit backends such as GCS, BigQuery, or Firestore.</w:t>
      </w:r>
    </w:p>
    <w:p>
      <w:pPr>
        <w:pStyle w:val="Heading1"/>
      </w:pPr>
      <w:r>
        <w:t>Log Storage Requirements</w:t>
      </w:r>
    </w:p>
    <w:p>
      <w:pPr>
        <w:pStyle w:val="ListBullet"/>
      </w:pPr>
      <w:r>
        <w:t>Development retention baseline: 7 days.</w:t>
      </w:r>
    </w:p>
    <w:p>
      <w:pPr>
        <w:pStyle w:val="ListBullet"/>
      </w:pPr>
      <w:r>
        <w:t>Test retention baseline: 14 days.</w:t>
      </w:r>
    </w:p>
    <w:p>
      <w:pPr>
        <w:pStyle w:val="ListBullet"/>
      </w:pPr>
      <w:r>
        <w:t>UAT retention baseline: 30 days.</w:t>
      </w:r>
    </w:p>
    <w:p>
      <w:pPr>
        <w:pStyle w:val="ListBullet"/>
      </w:pPr>
      <w:r>
        <w:t>Production retention baseline: 90 days hot plus customer archival policy.</w:t>
      </w:r>
    </w:p>
    <w:p>
      <w:pPr>
        <w:pStyle w:val="ListBullet"/>
      </w:pPr>
      <w:r>
        <w:t>Add a 20% buffer for incident spikes and verbose logging windows.</w:t>
      </w:r>
    </w:p>
    <w:p>
      <w:pPr>
        <w:pStyle w:val="Heading1"/>
      </w:pPr>
      <w:r>
        <w:t>Commercial Positioning</w:t>
      </w:r>
    </w:p>
    <w:p>
      <w:pPr>
        <w:pStyle w:val="ListBullet"/>
      </w:pPr>
      <w:r>
        <w:t>PMOMax should be positioned as AI-assisted project initiation and governance software, not a generic AI chatbot.</w:t>
      </w:r>
    </w:p>
    <w:p>
      <w:pPr>
        <w:pStyle w:val="ListBullet"/>
      </w:pPr>
      <w:r>
        <w:t>The value proposition is better project definition, governance visibility, and audit traceability before delivery begins.</w:t>
      </w:r>
    </w:p>
    <w:p>
      <w:pPr>
        <w:pStyle w:val="ListBullet"/>
      </w:pPr>
      <w:r>
        <w:t>Human stakeholders remain responsible for final decisions, approvals, and compliance interpretation.</w:t>
      </w:r>
    </w:p>
    <w:p>
      <w:pPr>
        <w:pStyle w:val="Heading1"/>
      </w:pPr>
      <w:r>
        <w:t>Important Non-Claims</w:t>
      </w:r>
    </w:p>
    <w:p>
      <w:pPr>
        <w:pStyle w:val="ListBullet"/>
      </w:pPr>
      <w:r>
        <w:t>PMOMax should not be described as currently implementing Agent-to-Agent (A2A) runtime interoperability.</w:t>
      </w:r>
    </w:p>
    <w:p>
      <w:pPr>
        <w:pStyle w:val="ListBullet"/>
      </w:pPr>
      <w:r>
        <w:t>PMOMax should not be described as having Google Workspace document or spreadsheet add-ins unless those are separately implemented and verified.</w:t>
      </w:r>
    </w:p>
    <w:p>
      <w:pPr>
        <w:pStyle w:val="ListBullet"/>
      </w:pPr>
      <w:r>
        <w:t>PMOMax does not provide immutable forensic audit logging by default; immutability depends on customer-configured GCP controls.</w:t>
      </w:r>
    </w:p>
    <w:p>
      <w:pPr>
        <w:pStyle w:val="ListBullet"/>
      </w:pPr>
      <w:r>
        <w:t>PMOMax does not centrally store customer audit logs by default and does not require cross-tenant audit collection.</w:t>
      </w:r>
    </w:p>
    <w:p>
      <w:pPr>
        <w:pStyle w:val="ListBullet"/>
      </w:pPr>
      <w:r>
        <w:t>Governance and compliance features should be described as AI-assisted review and gap surfacing, not as autonomous enforcement that guarantees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