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PMOMax Technical Architecture</w:t>
      </w:r>
    </w:p>
    <w:p>
      <w:pPr>
        <w:pStyle w:val="Title"/>
      </w:pPr>
      <w:r>
        <w:t>PMOMax Technical Architecture Summary</w:t>
      </w:r>
    </w:p>
    <w:p>
      <w:pPr>
        <w:pStyle w:val="Heading1"/>
      </w:pPr>
      <w:r>
        <w:t>Runtime Model</w:t>
      </w:r>
    </w:p>
    <w:p>
      <w:r>
        <w:t>PMOMax is a stateless AI-assisted PID and governance application. It is designed for customer-controlled Google Cloud operation, with Marketplace-oriented Kubernetes/GKE packaging and a hosted Cloud Run deployment path for the runtime service.</w:t>
      </w:r>
    </w:p>
    <w:p>
      <w:pPr>
        <w:pStyle w:val="Heading1"/>
      </w:pPr>
      <w:r>
        <w:t>Marketplace Package</w:t>
      </w:r>
    </w:p>
    <w:p>
      <w:r>
        <w:t>Key Marketplace files include:</w:t>
      </w:r>
    </w:p>
    <w:p>
      <w:pPr>
        <w:pStyle w:val="ListBullet"/>
      </w:pPr>
      <w:r>
        <w:t>`schema.yaml`</w:t>
      </w:r>
    </w:p>
    <w:p>
      <w:pPr>
        <w:pStyle w:val="ListBullet"/>
      </w:pPr>
      <w:r>
        <w:t>`deploy/schema.yaml`</w:t>
      </w:r>
    </w:p>
    <w:p>
      <w:pPr>
        <w:pStyle w:val="ListBullet"/>
      </w:pPr>
      <w:r>
        <w:t>`manifest/manifests.yaml.template`</w:t>
      </w:r>
    </w:p>
    <w:p>
      <w:pPr>
        <w:pStyle w:val="ListBullet"/>
      </w:pPr>
      <w:r>
        <w:t>`manifest/application.yaml.template`</w:t>
      </w:r>
    </w:p>
    <w:p>
      <w:pPr>
        <w:pStyle w:val="ListBullet"/>
      </w:pPr>
      <w:r>
        <w:t>`deployer/deploy.sh`</w:t>
      </w:r>
    </w:p>
    <w:p>
      <w:pPr>
        <w:pStyle w:val="ListBullet"/>
      </w:pPr>
      <w:r>
        <w:t>`deployer/deploy_with_tests.sh`</w:t>
      </w:r>
    </w:p>
    <w:p>
      <w:pPr>
        <w:pStyle w:val="ListBullet"/>
      </w:pPr>
      <w:r>
        <w:t>`publish_marketplace_deployer.sh`</w:t>
      </w:r>
    </w:p>
    <w:p>
      <w:r>
        <w:t>The root `Dockerfile` is for the Marketplace deployer image. `Dockerfile.cloudrun` is used by `deploy-fast.sh` for the hosted Cloud Run runtime app image.</w:t>
      </w:r>
    </w:p>
    <w:p>
      <w:pPr>
        <w:pStyle w:val="Heading1"/>
      </w:pPr>
      <w:r>
        <w:t>Runtime Image Flow</w:t>
      </w:r>
    </w:p>
    <w:p>
      <w:r>
        <w:t>The hosted runtime flow uses `deploy-fast.sh` to create a minimal Cloud Build context, stage `Dockerfile.cloudrun` as the runtime Dockerfile, build the app image, push it to Artifact Registry, and deploy the Cloud Run service.</w:t>
      </w:r>
    </w:p>
    <w:p>
      <w:pPr>
        <w:pStyle w:val="Heading1"/>
      </w:pPr>
      <w:r>
        <w:t>AI Audit Path</w:t>
      </w:r>
    </w:p>
    <w:p>
      <w:r>
        <w:t>PMOMax AI endpoints use request-scoped audit context. Responses receive `_auditMeta` and `_auditTrace`. Winston emits structured JSON to stdout with `message="ai_decision_trace"`. GKE or Cloud Run captures stdout into Cloud Logging.</w:t>
      </w:r>
    </w:p>
    <w:p>
      <w:pPr>
        <w:pStyle w:val="Heading1"/>
      </w:pPr>
      <w:r>
        <w:t>Optional Audit Backends</w:t>
      </w:r>
    </w:p>
    <w:p>
      <w:r>
        <w:t>Optional audit persistence is disabled by default. It is enabled only by customer configuration:</w:t>
      </w:r>
    </w:p>
    <w:p>
      <w:pPr>
        <w:pStyle w:val="ListBullet"/>
      </w:pPr>
      <w:r>
        <w:t>`AUDIT_GCS_BUCKET`</w:t>
      </w:r>
    </w:p>
    <w:p>
      <w:pPr>
        <w:pStyle w:val="ListBullet"/>
      </w:pPr>
      <w:r>
        <w:t>`AUDIT_BIGQUERY_TABLE`</w:t>
      </w:r>
    </w:p>
    <w:p>
      <w:pPr>
        <w:pStyle w:val="ListBullet"/>
      </w:pPr>
      <w:r>
        <w:t>`AUDIT_FIRESTORE_COLLECTION`</w:t>
      </w:r>
    </w:p>
    <w:p>
      <w:r>
        <w:t>These backends are customer-managed and do not create a PMOMax-owned persistence requirement.</w:t>
      </w:r>
    </w:p>
    <w:p>
      <w:pPr>
        <w:pStyle w:val="Heading1"/>
      </w:pPr>
      <w:r>
        <w:t>Tenant Safety</w:t>
      </w:r>
    </w:p>
    <w:p>
      <w:r>
        <w:t>PMOMax is designed so customer project data and audit evidence remain in customer-controlled infrastructure by default. No central PMOMax audit collection is required for traceability.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